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天津大学国际工程师学院建筑学专业</w:t>
      </w:r>
    </w:p>
    <w:p>
      <w:pPr>
        <w:jc w:val="center"/>
        <w:rPr>
          <w:b/>
          <w:sz w:val="30"/>
          <w:szCs w:val="30"/>
        </w:rPr>
      </w:pPr>
      <w:r>
        <w:rPr>
          <w:rFonts w:hint="eastAsia"/>
          <w:b/>
          <w:sz w:val="30"/>
          <w:szCs w:val="30"/>
        </w:rPr>
        <w:t>2016年硕士研究生招生调剂工作通知</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根据《天津大学2016年硕士研究生招生复试、录取和调剂工作安排》的文件精神，结合国际工程师学院建筑学专业情况，现将我院2016年硕士招生调剂等事宜通知如下：</w:t>
      </w:r>
    </w:p>
    <w:p>
      <w:pPr>
        <w:pStyle w:val="12"/>
        <w:numPr>
          <w:ilvl w:val="0"/>
          <w:numId w:val="1"/>
        </w:numPr>
        <w:spacing w:line="360" w:lineRule="auto"/>
        <w:ind w:left="0" w:firstLine="0" w:firstLineChars="0"/>
        <w:rPr>
          <w:b/>
          <w:sz w:val="24"/>
          <w:szCs w:val="24"/>
        </w:rPr>
      </w:pPr>
      <w:r>
        <w:rPr>
          <w:rFonts w:hint="eastAsia"/>
          <w:b/>
          <w:sz w:val="24"/>
          <w:szCs w:val="24"/>
        </w:rPr>
        <w:t>查询国际工程师学院2016年硕士研究生招生调剂相关信息，课登陆天津大学国际工程师学院网站（</w:t>
      </w:r>
      <w:r>
        <w:t>http://www.tju.edu.cn/tiei/</w:t>
      </w:r>
      <w:r>
        <w:rPr>
          <w:rFonts w:hint="eastAsia"/>
          <w:b/>
          <w:sz w:val="24"/>
          <w:szCs w:val="24"/>
        </w:rPr>
        <w:t>）。</w:t>
      </w:r>
    </w:p>
    <w:p>
      <w:pPr>
        <w:pStyle w:val="12"/>
        <w:numPr>
          <w:ilvl w:val="0"/>
          <w:numId w:val="1"/>
        </w:numPr>
        <w:spacing w:beforeLines="50" w:line="360" w:lineRule="auto"/>
        <w:ind w:left="0" w:firstLine="0" w:firstLineChars="0"/>
        <w:rPr>
          <w:b/>
          <w:sz w:val="24"/>
          <w:szCs w:val="24"/>
        </w:rPr>
      </w:pPr>
      <w:r>
        <w:rPr>
          <w:rFonts w:hint="eastAsia"/>
          <w:b/>
          <w:sz w:val="24"/>
          <w:szCs w:val="24"/>
        </w:rPr>
        <w:t>2016年国际工程师学院建筑学调剂计划</w:t>
      </w:r>
    </w:p>
    <w:tbl>
      <w:tblPr>
        <w:tblStyle w:val="15"/>
        <w:tblW w:w="69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5"/>
        <w:gridCol w:w="4069"/>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95" w:type="dxa"/>
          </w:tcPr>
          <w:p>
            <w:pPr>
              <w:jc w:val="center"/>
              <w:rPr>
                <w:szCs w:val="21"/>
              </w:rPr>
            </w:pPr>
            <w:r>
              <w:rPr>
                <w:rFonts w:hint="eastAsia"/>
                <w:szCs w:val="21"/>
              </w:rPr>
              <w:t>第一志愿报考学院</w:t>
            </w:r>
          </w:p>
          <w:p>
            <w:pPr>
              <w:jc w:val="center"/>
              <w:rPr>
                <w:szCs w:val="21"/>
              </w:rPr>
            </w:pPr>
            <w:r>
              <w:rPr>
                <w:rFonts w:hint="eastAsia"/>
                <w:szCs w:val="21"/>
              </w:rPr>
              <w:t>（调出学院）</w:t>
            </w:r>
          </w:p>
        </w:tc>
        <w:tc>
          <w:tcPr>
            <w:tcW w:w="4069" w:type="dxa"/>
          </w:tcPr>
          <w:p>
            <w:pPr>
              <w:jc w:val="center"/>
              <w:rPr>
                <w:szCs w:val="21"/>
              </w:rPr>
            </w:pPr>
            <w:r>
              <w:rPr>
                <w:rFonts w:hint="eastAsia"/>
                <w:szCs w:val="21"/>
              </w:rPr>
              <w:t>第一志愿报考专业</w:t>
            </w:r>
          </w:p>
          <w:p>
            <w:pPr>
              <w:jc w:val="center"/>
              <w:rPr>
                <w:szCs w:val="21"/>
              </w:rPr>
            </w:pPr>
            <w:r>
              <w:rPr>
                <w:rFonts w:hint="eastAsia"/>
                <w:szCs w:val="21"/>
              </w:rPr>
              <w:t>（调出专业）</w:t>
            </w:r>
          </w:p>
        </w:tc>
        <w:tc>
          <w:tcPr>
            <w:tcW w:w="677" w:type="dxa"/>
          </w:tcPr>
          <w:p>
            <w:pPr>
              <w:jc w:val="center"/>
              <w:rPr>
                <w:szCs w:val="21"/>
              </w:rPr>
            </w:pPr>
            <w:r>
              <w:rPr>
                <w:rFonts w:hint="eastAsia"/>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2195" w:type="dxa"/>
          </w:tcPr>
          <w:p>
            <w:pPr>
              <w:spacing w:line="480" w:lineRule="auto"/>
              <w:rPr>
                <w:szCs w:val="21"/>
              </w:rPr>
            </w:pPr>
            <w:r>
              <w:rPr>
                <w:rFonts w:hint="eastAsia"/>
                <w:szCs w:val="21"/>
              </w:rPr>
              <w:t>建工学院</w:t>
            </w:r>
          </w:p>
        </w:tc>
        <w:tc>
          <w:tcPr>
            <w:tcW w:w="4069" w:type="dxa"/>
          </w:tcPr>
          <w:p>
            <w:pPr>
              <w:spacing w:line="480" w:lineRule="auto"/>
              <w:rPr>
                <w:szCs w:val="21"/>
              </w:rPr>
            </w:pPr>
            <w:r>
              <w:rPr>
                <w:rFonts w:hint="eastAsia"/>
                <w:szCs w:val="21"/>
              </w:rPr>
              <w:t>建筑与土木工程</w:t>
            </w:r>
            <w:r>
              <w:rPr>
                <w:rFonts w:hint="eastAsia"/>
                <w:color w:val="FF0000"/>
                <w:szCs w:val="21"/>
              </w:rPr>
              <w:t xml:space="preserve"> </w:t>
            </w:r>
            <w:r>
              <w:rPr>
                <w:rFonts w:hint="eastAsia"/>
                <w:szCs w:val="21"/>
              </w:rPr>
              <w:t>/ 土木工程</w:t>
            </w:r>
          </w:p>
        </w:tc>
        <w:tc>
          <w:tcPr>
            <w:tcW w:w="677" w:type="dxa"/>
          </w:tcPr>
          <w:p>
            <w:pPr>
              <w:spacing w:line="480" w:lineRule="auto"/>
              <w:jc w:val="center"/>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2195" w:type="dxa"/>
          </w:tcPr>
          <w:p>
            <w:pPr>
              <w:spacing w:line="480" w:lineRule="auto"/>
              <w:rPr>
                <w:szCs w:val="21"/>
              </w:rPr>
            </w:pPr>
            <w:r>
              <w:rPr>
                <w:rFonts w:hint="eastAsia"/>
                <w:szCs w:val="21"/>
              </w:rPr>
              <w:t>环境学院</w:t>
            </w:r>
          </w:p>
        </w:tc>
        <w:tc>
          <w:tcPr>
            <w:tcW w:w="4069" w:type="dxa"/>
          </w:tcPr>
          <w:p>
            <w:pPr>
              <w:rPr>
                <w:szCs w:val="21"/>
              </w:rPr>
            </w:pPr>
            <w:r>
              <w:rPr>
                <w:rFonts w:hint="eastAsia"/>
                <w:szCs w:val="21"/>
              </w:rPr>
              <w:t xml:space="preserve">供热、供燃气、通风及空调工程 / </w:t>
            </w:r>
          </w:p>
          <w:p>
            <w:pPr>
              <w:rPr>
                <w:szCs w:val="21"/>
              </w:rPr>
            </w:pPr>
            <w:r>
              <w:rPr>
                <w:rFonts w:hint="eastAsia"/>
                <w:szCs w:val="21"/>
              </w:rPr>
              <w:t>热能工程 / 建筑与土木工程</w:t>
            </w:r>
          </w:p>
        </w:tc>
        <w:tc>
          <w:tcPr>
            <w:tcW w:w="677" w:type="dxa"/>
          </w:tcPr>
          <w:p>
            <w:pPr>
              <w:spacing w:line="480" w:lineRule="auto"/>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2195" w:type="dxa"/>
          </w:tcPr>
          <w:p>
            <w:pPr>
              <w:spacing w:line="480" w:lineRule="auto"/>
              <w:rPr>
                <w:szCs w:val="21"/>
              </w:rPr>
            </w:pPr>
            <w:r>
              <w:rPr>
                <w:rFonts w:hint="eastAsia"/>
                <w:szCs w:val="21"/>
              </w:rPr>
              <w:t>计算机学院</w:t>
            </w:r>
          </w:p>
        </w:tc>
        <w:tc>
          <w:tcPr>
            <w:tcW w:w="4069" w:type="dxa"/>
          </w:tcPr>
          <w:p>
            <w:pPr>
              <w:rPr>
                <w:szCs w:val="21"/>
              </w:rPr>
            </w:pPr>
            <w:r>
              <w:rPr>
                <w:rFonts w:hint="eastAsia"/>
                <w:szCs w:val="21"/>
              </w:rPr>
              <w:t xml:space="preserve">计算机技术 / 计算机科学与技术 / </w:t>
            </w:r>
          </w:p>
          <w:p>
            <w:pPr>
              <w:rPr>
                <w:szCs w:val="21"/>
              </w:rPr>
            </w:pPr>
            <w:r>
              <w:rPr>
                <w:rFonts w:hint="eastAsia"/>
                <w:szCs w:val="21"/>
              </w:rPr>
              <w:t>模式识别与智能系统 / 软件工程</w:t>
            </w:r>
          </w:p>
        </w:tc>
        <w:tc>
          <w:tcPr>
            <w:tcW w:w="677" w:type="dxa"/>
          </w:tcPr>
          <w:p>
            <w:pPr>
              <w:spacing w:line="480" w:lineRule="auto"/>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2195" w:type="dxa"/>
          </w:tcPr>
          <w:p>
            <w:pPr>
              <w:spacing w:line="480" w:lineRule="auto"/>
              <w:rPr>
                <w:szCs w:val="21"/>
              </w:rPr>
            </w:pPr>
            <w:r>
              <w:rPr>
                <w:rFonts w:hint="eastAsia"/>
                <w:szCs w:val="21"/>
              </w:rPr>
              <w:t>理学院</w:t>
            </w:r>
          </w:p>
        </w:tc>
        <w:tc>
          <w:tcPr>
            <w:tcW w:w="4069" w:type="dxa"/>
          </w:tcPr>
          <w:p>
            <w:pPr>
              <w:spacing w:line="480" w:lineRule="auto"/>
              <w:rPr>
                <w:szCs w:val="21"/>
              </w:rPr>
            </w:pPr>
            <w:r>
              <w:rPr>
                <w:rFonts w:hint="eastAsia"/>
                <w:szCs w:val="21"/>
              </w:rPr>
              <w:t>应用数学</w:t>
            </w:r>
          </w:p>
        </w:tc>
        <w:tc>
          <w:tcPr>
            <w:tcW w:w="677" w:type="dxa"/>
          </w:tcPr>
          <w:p>
            <w:pPr>
              <w:spacing w:line="480" w:lineRule="auto"/>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2195" w:type="dxa"/>
          </w:tcPr>
          <w:p>
            <w:pPr>
              <w:spacing w:line="480" w:lineRule="auto"/>
              <w:rPr>
                <w:szCs w:val="21"/>
              </w:rPr>
            </w:pPr>
            <w:r>
              <w:rPr>
                <w:rFonts w:hint="eastAsia"/>
                <w:szCs w:val="21"/>
              </w:rPr>
              <w:t>自动化学院</w:t>
            </w:r>
          </w:p>
        </w:tc>
        <w:tc>
          <w:tcPr>
            <w:tcW w:w="4069" w:type="dxa"/>
          </w:tcPr>
          <w:p>
            <w:pPr>
              <w:spacing w:line="480" w:lineRule="auto"/>
              <w:rPr>
                <w:szCs w:val="21"/>
              </w:rPr>
            </w:pPr>
            <w:r>
              <w:rPr>
                <w:rFonts w:hint="eastAsia"/>
                <w:szCs w:val="21"/>
              </w:rPr>
              <w:t>控制工程、控制科学与工程</w:t>
            </w:r>
          </w:p>
        </w:tc>
        <w:tc>
          <w:tcPr>
            <w:tcW w:w="677" w:type="dxa"/>
          </w:tcPr>
          <w:p>
            <w:pPr>
              <w:spacing w:line="480" w:lineRule="auto"/>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2195" w:type="dxa"/>
          </w:tcPr>
          <w:p>
            <w:pPr>
              <w:spacing w:line="480" w:lineRule="auto"/>
              <w:rPr>
                <w:szCs w:val="21"/>
              </w:rPr>
            </w:pPr>
            <w:r>
              <w:rPr>
                <w:rFonts w:hint="eastAsia"/>
                <w:szCs w:val="21"/>
              </w:rPr>
              <w:t>信息学院</w:t>
            </w:r>
          </w:p>
        </w:tc>
        <w:tc>
          <w:tcPr>
            <w:tcW w:w="4069" w:type="dxa"/>
          </w:tcPr>
          <w:p>
            <w:pPr>
              <w:spacing w:line="480" w:lineRule="auto"/>
              <w:rPr>
                <w:szCs w:val="21"/>
              </w:rPr>
            </w:pPr>
            <w:r>
              <w:rPr>
                <w:rFonts w:hint="eastAsia"/>
                <w:szCs w:val="21"/>
              </w:rPr>
              <w:t>电子与通信工程、信息与通信工程</w:t>
            </w:r>
          </w:p>
        </w:tc>
        <w:tc>
          <w:tcPr>
            <w:tcW w:w="677" w:type="dxa"/>
          </w:tcPr>
          <w:p>
            <w:pPr>
              <w:spacing w:line="480" w:lineRule="auto"/>
              <w:jc w:val="center"/>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2195" w:type="dxa"/>
          </w:tcPr>
          <w:p>
            <w:pPr>
              <w:spacing w:line="480" w:lineRule="auto"/>
              <w:rPr>
                <w:szCs w:val="21"/>
              </w:rPr>
            </w:pPr>
            <w:r>
              <w:rPr>
                <w:rFonts w:hint="eastAsia"/>
                <w:szCs w:val="21"/>
              </w:rPr>
              <w:t>精仪学院</w:t>
            </w:r>
          </w:p>
        </w:tc>
        <w:tc>
          <w:tcPr>
            <w:tcW w:w="4069" w:type="dxa"/>
          </w:tcPr>
          <w:p>
            <w:pPr>
              <w:spacing w:line="480" w:lineRule="auto"/>
              <w:rPr>
                <w:szCs w:val="21"/>
              </w:rPr>
            </w:pPr>
            <w:r>
              <w:rPr>
                <w:rFonts w:hint="eastAsia"/>
                <w:szCs w:val="21"/>
              </w:rPr>
              <w:t>仪器科学与技术  / 光学工程</w:t>
            </w:r>
          </w:p>
        </w:tc>
        <w:tc>
          <w:tcPr>
            <w:tcW w:w="677" w:type="dxa"/>
          </w:tcPr>
          <w:p>
            <w:pPr>
              <w:spacing w:line="480" w:lineRule="auto"/>
              <w:jc w:val="center"/>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exact"/>
          <w:jc w:val="center"/>
        </w:trPr>
        <w:tc>
          <w:tcPr>
            <w:tcW w:w="2195" w:type="dxa"/>
          </w:tcPr>
          <w:p>
            <w:pPr>
              <w:spacing w:line="480" w:lineRule="auto"/>
              <w:rPr>
                <w:szCs w:val="21"/>
              </w:rPr>
            </w:pPr>
            <w:r>
              <w:rPr>
                <w:rFonts w:hint="eastAsia"/>
                <w:szCs w:val="21"/>
              </w:rPr>
              <w:t>合计</w:t>
            </w:r>
          </w:p>
        </w:tc>
        <w:tc>
          <w:tcPr>
            <w:tcW w:w="4069" w:type="dxa"/>
          </w:tcPr>
          <w:p>
            <w:pPr>
              <w:spacing w:line="480" w:lineRule="auto"/>
              <w:rPr>
                <w:szCs w:val="21"/>
              </w:rPr>
            </w:pPr>
          </w:p>
        </w:tc>
        <w:tc>
          <w:tcPr>
            <w:tcW w:w="677" w:type="dxa"/>
          </w:tcPr>
          <w:p>
            <w:pPr>
              <w:spacing w:line="480" w:lineRule="auto"/>
              <w:jc w:val="center"/>
              <w:rPr>
                <w:szCs w:val="21"/>
              </w:rPr>
            </w:pPr>
            <w:r>
              <w:rPr>
                <w:rFonts w:hint="eastAsia"/>
                <w:szCs w:val="21"/>
              </w:rPr>
              <w:t>18</w:t>
            </w:r>
          </w:p>
        </w:tc>
      </w:tr>
    </w:tbl>
    <w:p>
      <w:pPr>
        <w:pStyle w:val="12"/>
        <w:spacing w:line="360" w:lineRule="auto"/>
        <w:ind w:firstLine="0" w:firstLineChars="0"/>
        <w:rPr>
          <w:b/>
          <w:sz w:val="24"/>
          <w:szCs w:val="24"/>
        </w:rPr>
      </w:pPr>
    </w:p>
    <w:p>
      <w:pPr>
        <w:pStyle w:val="12"/>
        <w:spacing w:line="360" w:lineRule="auto"/>
        <w:ind w:firstLine="482"/>
        <w:rPr>
          <w:b/>
          <w:sz w:val="24"/>
          <w:szCs w:val="24"/>
        </w:rPr>
      </w:pPr>
      <w:r>
        <w:rPr>
          <w:rFonts w:hint="eastAsia"/>
          <w:b/>
          <w:sz w:val="24"/>
          <w:szCs w:val="24"/>
        </w:rPr>
        <w:t>申请调剂的考生务必于</w:t>
      </w:r>
      <w:r>
        <w:rPr>
          <w:rFonts w:hint="eastAsia"/>
          <w:b/>
          <w:color w:val="FF0000"/>
          <w:sz w:val="24"/>
          <w:szCs w:val="24"/>
        </w:rPr>
        <w:t>2016年3月2</w:t>
      </w:r>
      <w:r>
        <w:rPr>
          <w:rFonts w:hint="eastAsia"/>
          <w:b/>
          <w:color w:val="FF0000"/>
          <w:sz w:val="24"/>
          <w:szCs w:val="24"/>
          <w:lang w:val="en-US" w:eastAsia="zh-CN"/>
        </w:rPr>
        <w:t>6</w:t>
      </w:r>
      <w:r>
        <w:rPr>
          <w:rFonts w:hint="eastAsia"/>
          <w:b/>
          <w:color w:val="FF0000"/>
          <w:sz w:val="24"/>
          <w:szCs w:val="24"/>
        </w:rPr>
        <w:t>日（周</w:t>
      </w:r>
      <w:r>
        <w:rPr>
          <w:rFonts w:hint="eastAsia"/>
          <w:b/>
          <w:color w:val="FF0000"/>
          <w:sz w:val="24"/>
          <w:szCs w:val="24"/>
          <w:lang w:eastAsia="zh-CN"/>
        </w:rPr>
        <w:t>日</w:t>
      </w:r>
      <w:r>
        <w:rPr>
          <w:rFonts w:hint="eastAsia"/>
          <w:b/>
          <w:color w:val="FF0000"/>
          <w:sz w:val="24"/>
          <w:szCs w:val="24"/>
        </w:rPr>
        <w:t>）下午16:30前</w:t>
      </w:r>
      <w:r>
        <w:rPr>
          <w:rFonts w:hint="eastAsia"/>
          <w:b/>
          <w:sz w:val="24"/>
          <w:szCs w:val="24"/>
        </w:rPr>
        <w:t>将《报考天津大学2016年硕士研究生校内调剂申请表》（见附件）</w:t>
      </w:r>
      <w:r>
        <w:fldChar w:fldCharType="begin"/>
      </w:r>
      <w:r>
        <w:instrText xml:space="preserve"> HYPERLINK "mailto:以邮件形式或者现场递交的形式发送至tiei2014@163.com" </w:instrText>
      </w:r>
      <w:r>
        <w:fldChar w:fldCharType="separate"/>
      </w:r>
      <w:r>
        <w:rPr>
          <w:rFonts w:hint="eastAsia"/>
          <w:b/>
          <w:sz w:val="24"/>
          <w:szCs w:val="24"/>
        </w:rPr>
        <w:t>以邮件形式或者现场递交的形式发送至tiei2014@163.com</w:t>
      </w:r>
      <w:r>
        <w:rPr>
          <w:rFonts w:hint="eastAsia"/>
          <w:b/>
          <w:sz w:val="24"/>
          <w:szCs w:val="24"/>
        </w:rPr>
        <w:fldChar w:fldCharType="end"/>
      </w:r>
      <w:r>
        <w:rPr>
          <w:rFonts w:hint="eastAsia"/>
          <w:b/>
          <w:sz w:val="24"/>
          <w:szCs w:val="24"/>
        </w:rPr>
        <w:t>，邮件命名统一为“申请调剂—考生姓名—调入专业”，或者将纸质申请表交至天津大学卫津路校区第9教学楼421办公室。</w:t>
      </w:r>
    </w:p>
    <w:p>
      <w:pPr>
        <w:pStyle w:val="12"/>
        <w:spacing w:line="360" w:lineRule="auto"/>
        <w:ind w:firstLine="0" w:firstLineChars="0"/>
        <w:rPr>
          <w:b/>
          <w:sz w:val="24"/>
          <w:szCs w:val="24"/>
        </w:rPr>
      </w:pPr>
    </w:p>
    <w:p>
      <w:pPr>
        <w:pStyle w:val="12"/>
        <w:numPr>
          <w:ilvl w:val="0"/>
          <w:numId w:val="1"/>
        </w:numPr>
        <w:spacing w:line="360" w:lineRule="auto"/>
        <w:ind w:left="0" w:firstLine="0" w:firstLineChars="0"/>
        <w:rPr>
          <w:b/>
          <w:sz w:val="24"/>
          <w:szCs w:val="24"/>
        </w:rPr>
      </w:pPr>
      <w:r>
        <w:rPr>
          <w:rFonts w:hint="eastAsia"/>
          <w:b/>
          <w:sz w:val="24"/>
          <w:szCs w:val="24"/>
        </w:rPr>
        <w:t>校内调剂范围与要求</w:t>
      </w:r>
    </w:p>
    <w:p>
      <w:pPr>
        <w:pStyle w:val="12"/>
        <w:numPr>
          <w:ilvl w:val="0"/>
          <w:numId w:val="2"/>
        </w:numPr>
        <w:spacing w:line="360" w:lineRule="auto"/>
        <w:ind w:firstLineChars="0"/>
        <w:rPr>
          <w:sz w:val="24"/>
          <w:szCs w:val="24"/>
        </w:rPr>
      </w:pPr>
      <w:r>
        <w:rPr>
          <w:rFonts w:hint="eastAsia"/>
          <w:sz w:val="24"/>
          <w:szCs w:val="24"/>
        </w:rPr>
        <w:t>调剂的基本原则：</w:t>
      </w:r>
    </w:p>
    <w:p>
      <w:pPr>
        <w:spacing w:line="360" w:lineRule="auto"/>
        <w:ind w:firstLine="480" w:firstLineChars="200"/>
        <w:rPr>
          <w:sz w:val="24"/>
          <w:szCs w:val="24"/>
        </w:rPr>
      </w:pPr>
      <w:r>
        <w:rPr>
          <w:rFonts w:hint="eastAsia"/>
          <w:sz w:val="24"/>
          <w:szCs w:val="24"/>
        </w:rPr>
        <w:t>调剂考生的初试成绩必须符合第一志愿报考专业（调出专业）进入复试的基本分数线。考生报考专业和调剂专业必须是统考科目基本相同（不同外语语种、数学一～三及自命题数学视为基本相同）、自命题科目相近。</w:t>
      </w:r>
    </w:p>
    <w:p>
      <w:pPr>
        <w:pStyle w:val="12"/>
        <w:numPr>
          <w:ilvl w:val="0"/>
          <w:numId w:val="2"/>
        </w:numPr>
        <w:spacing w:line="360" w:lineRule="auto"/>
        <w:ind w:firstLineChars="0"/>
        <w:rPr>
          <w:sz w:val="24"/>
          <w:szCs w:val="24"/>
        </w:rPr>
      </w:pPr>
      <w:r>
        <w:rPr>
          <w:rFonts w:hint="eastAsia"/>
          <w:sz w:val="24"/>
          <w:szCs w:val="24"/>
        </w:rPr>
        <w:t>调剂范围：</w:t>
      </w:r>
    </w:p>
    <w:p>
      <w:pPr>
        <w:spacing w:line="360" w:lineRule="auto"/>
        <w:ind w:firstLine="480" w:firstLineChars="200"/>
        <w:rPr>
          <w:sz w:val="24"/>
          <w:szCs w:val="24"/>
        </w:rPr>
      </w:pPr>
      <w:r>
        <w:rPr>
          <w:rFonts w:hint="eastAsia"/>
          <w:sz w:val="24"/>
          <w:szCs w:val="24"/>
        </w:rPr>
        <w:t>以下两类考生有资格参加校内调剂：第一类是已经参加报考专业复试而未被录取的考生，第二类是已经达到学校复试分数线而未参加报考专业复试的考生。这两类考生享有同等的调剂资格。</w:t>
      </w:r>
    </w:p>
    <w:p>
      <w:pPr>
        <w:spacing w:line="360" w:lineRule="auto"/>
        <w:ind w:firstLine="480" w:firstLineChars="200"/>
        <w:rPr>
          <w:sz w:val="24"/>
          <w:szCs w:val="24"/>
        </w:rPr>
      </w:pPr>
      <w:r>
        <w:rPr>
          <w:rFonts w:hint="eastAsia"/>
          <w:sz w:val="24"/>
          <w:szCs w:val="24"/>
        </w:rPr>
        <w:t>考生第一志愿专业为上表所列专业，方可申请调剂入国际工程师学院建筑学专业；</w:t>
      </w:r>
    </w:p>
    <w:p>
      <w:pPr>
        <w:spacing w:line="360" w:lineRule="auto"/>
        <w:ind w:firstLine="482" w:firstLineChars="200"/>
        <w:rPr>
          <w:b w:val="0"/>
          <w:bCs/>
          <w:sz w:val="24"/>
          <w:szCs w:val="24"/>
          <w:shd w:val="clear" w:color="auto" w:fill="auto"/>
        </w:rPr>
      </w:pPr>
      <w:r>
        <w:rPr>
          <w:rFonts w:hint="eastAsia"/>
          <w:b w:val="0"/>
          <w:bCs/>
          <w:sz w:val="24"/>
          <w:szCs w:val="24"/>
          <w:shd w:val="clear" w:color="auto" w:fill="auto"/>
        </w:rPr>
        <w:t>申请调剂入国际工程师学院的考生英语六级425分以上（含425分）</w:t>
      </w:r>
      <w:r>
        <w:rPr>
          <w:rFonts w:hint="eastAsia"/>
          <w:b w:val="0"/>
          <w:bCs/>
          <w:sz w:val="24"/>
          <w:szCs w:val="24"/>
          <w:shd w:val="clear" w:color="auto" w:fill="auto"/>
          <w:lang w:eastAsia="zh-CN"/>
        </w:rPr>
        <w:t>优先考虑</w:t>
      </w:r>
      <w:r>
        <w:rPr>
          <w:rFonts w:hint="eastAsia"/>
          <w:b w:val="0"/>
          <w:bCs/>
          <w:sz w:val="24"/>
          <w:szCs w:val="24"/>
          <w:shd w:val="clear" w:color="auto" w:fill="auto"/>
        </w:rPr>
        <w:t>。</w:t>
      </w:r>
    </w:p>
    <w:p>
      <w:pPr>
        <w:spacing w:line="360" w:lineRule="auto"/>
        <w:ind w:firstLine="482" w:firstLineChars="200"/>
        <w:rPr>
          <w:b/>
          <w:sz w:val="24"/>
          <w:szCs w:val="24"/>
          <w:shd w:val="pct10" w:color="auto" w:fill="FFFFFF"/>
        </w:rPr>
      </w:pPr>
    </w:p>
    <w:p>
      <w:pPr>
        <w:spacing w:line="360" w:lineRule="auto"/>
        <w:ind w:firstLine="482" w:firstLineChars="200"/>
        <w:rPr>
          <w:b/>
          <w:sz w:val="24"/>
          <w:szCs w:val="24"/>
          <w:shd w:val="pct10" w:color="auto" w:fill="FFFFFF"/>
        </w:rPr>
      </w:pPr>
      <w:r>
        <w:rPr>
          <w:rFonts w:hint="eastAsia"/>
          <w:b/>
          <w:sz w:val="24"/>
          <w:szCs w:val="24"/>
          <w:shd w:val="pct10" w:color="auto" w:fill="FFFFFF"/>
        </w:rPr>
        <w:t>注意：我院将严格实行差额复试，将申请调剂的学生根据第一志愿专业的不同，分别按照第一志愿学科门类、初试成绩、本科专业等相关因素分类和排序，参加调剂复试的考生人数在调剂规模的120%～200%之间。</w:t>
      </w:r>
    </w:p>
    <w:p>
      <w:pPr>
        <w:spacing w:line="360" w:lineRule="auto"/>
        <w:ind w:firstLine="482" w:firstLineChars="200"/>
        <w:rPr>
          <w:b/>
          <w:sz w:val="24"/>
          <w:szCs w:val="24"/>
          <w:shd w:val="pct10" w:color="auto" w:fill="FFFFFF"/>
        </w:rPr>
      </w:pPr>
    </w:p>
    <w:p>
      <w:pPr>
        <w:pStyle w:val="12"/>
        <w:numPr>
          <w:ilvl w:val="0"/>
          <w:numId w:val="1"/>
        </w:numPr>
        <w:spacing w:line="360" w:lineRule="auto"/>
        <w:ind w:firstLineChars="0"/>
        <w:rPr>
          <w:b/>
          <w:sz w:val="24"/>
          <w:szCs w:val="24"/>
        </w:rPr>
      </w:pPr>
      <w:r>
        <w:rPr>
          <w:rFonts w:hint="eastAsia"/>
          <w:b/>
          <w:sz w:val="24"/>
          <w:szCs w:val="24"/>
        </w:rPr>
        <w:t>校内调剂时间安排</w:t>
      </w:r>
    </w:p>
    <w:p>
      <w:pPr>
        <w:pStyle w:val="12"/>
        <w:numPr>
          <w:ilvl w:val="0"/>
          <w:numId w:val="3"/>
        </w:numPr>
        <w:spacing w:line="360" w:lineRule="auto"/>
        <w:ind w:firstLineChars="0"/>
        <w:rPr>
          <w:sz w:val="24"/>
          <w:szCs w:val="24"/>
        </w:rPr>
      </w:pPr>
      <w:r>
        <w:rPr>
          <w:rFonts w:hint="eastAsia"/>
          <w:sz w:val="24"/>
          <w:szCs w:val="24"/>
        </w:rPr>
        <w:t>资格审查与体检时间安排</w:t>
      </w:r>
    </w:p>
    <w:p>
      <w:pPr>
        <w:rPr>
          <w:sz w:val="24"/>
          <w:szCs w:val="24"/>
        </w:rPr>
      </w:pPr>
      <w:r>
        <w:rPr>
          <w:rFonts w:hint="eastAsia"/>
          <w:sz w:val="24"/>
          <w:szCs w:val="24"/>
          <w:lang w:val="en-US" w:eastAsia="zh-CN"/>
        </w:rPr>
        <w:t xml:space="preserve">    </w:t>
      </w:r>
      <w:r>
        <w:rPr>
          <w:rFonts w:hint="eastAsia"/>
          <w:sz w:val="24"/>
          <w:szCs w:val="24"/>
        </w:rPr>
        <w:t>第一类考生请参见各学院资格审查和体检时间；第二类考生请在调剂名单确定后完成资格审查和体检环节。</w:t>
      </w:r>
    </w:p>
    <w:p>
      <w:pPr>
        <w:pStyle w:val="12"/>
        <w:numPr>
          <w:ilvl w:val="0"/>
          <w:numId w:val="3"/>
        </w:numPr>
        <w:spacing w:line="360" w:lineRule="auto"/>
        <w:ind w:firstLineChars="0"/>
        <w:rPr>
          <w:sz w:val="24"/>
          <w:szCs w:val="24"/>
        </w:rPr>
      </w:pPr>
      <w:r>
        <w:rPr>
          <w:rFonts w:hint="eastAsia"/>
          <w:sz w:val="24"/>
          <w:szCs w:val="24"/>
        </w:rPr>
        <w:t>调剂各环节具体时间安排</w:t>
      </w:r>
    </w:p>
    <w:tbl>
      <w:tblPr>
        <w:tblStyle w:val="9"/>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2268"/>
        <w:gridCol w:w="1559"/>
        <w:gridCol w:w="1418"/>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jc w:val="center"/>
              <w:rPr>
                <w:rFonts w:ascii="宋体" w:hAnsi="宋体" w:eastAsia="宋体" w:cs="宋体"/>
                <w:kern w:val="0"/>
                <w:szCs w:val="21"/>
              </w:rPr>
            </w:pPr>
            <w:r>
              <w:rPr>
                <w:rFonts w:hint="eastAsia" w:ascii="宋体" w:hAnsi="宋体" w:eastAsia="宋体" w:cs="宋体"/>
                <w:kern w:val="0"/>
                <w:szCs w:val="21"/>
              </w:rPr>
              <w:t>项目</w:t>
            </w:r>
          </w:p>
        </w:tc>
        <w:tc>
          <w:tcPr>
            <w:tcW w:w="2268" w:type="dxa"/>
          </w:tcPr>
          <w:p>
            <w:pPr>
              <w:jc w:val="center"/>
              <w:rPr>
                <w:rFonts w:ascii="宋体" w:hAnsi="宋体" w:eastAsia="宋体" w:cs="宋体"/>
                <w:kern w:val="0"/>
                <w:szCs w:val="21"/>
              </w:rPr>
            </w:pPr>
            <w:r>
              <w:rPr>
                <w:rFonts w:hint="eastAsia" w:ascii="宋体" w:hAnsi="宋体" w:eastAsia="宋体" w:cs="宋体"/>
                <w:kern w:val="0"/>
                <w:szCs w:val="21"/>
              </w:rPr>
              <w:t>参加范围</w:t>
            </w:r>
          </w:p>
        </w:tc>
        <w:tc>
          <w:tcPr>
            <w:tcW w:w="1559" w:type="dxa"/>
          </w:tcPr>
          <w:p>
            <w:pPr>
              <w:jc w:val="center"/>
              <w:rPr>
                <w:rFonts w:ascii="宋体" w:hAnsi="宋体" w:eastAsia="宋体" w:cs="宋体"/>
                <w:kern w:val="0"/>
                <w:szCs w:val="21"/>
              </w:rPr>
            </w:pPr>
            <w:r>
              <w:rPr>
                <w:rFonts w:hint="eastAsia" w:ascii="宋体" w:hAnsi="宋体" w:eastAsia="宋体" w:cs="宋体"/>
                <w:kern w:val="0"/>
                <w:szCs w:val="21"/>
              </w:rPr>
              <w:t>时间</w:t>
            </w:r>
          </w:p>
        </w:tc>
        <w:tc>
          <w:tcPr>
            <w:tcW w:w="1418" w:type="dxa"/>
          </w:tcPr>
          <w:p>
            <w:pPr>
              <w:jc w:val="center"/>
              <w:rPr>
                <w:rFonts w:ascii="宋体" w:hAnsi="宋体" w:eastAsia="宋体" w:cs="宋体"/>
                <w:kern w:val="0"/>
                <w:szCs w:val="21"/>
              </w:rPr>
            </w:pPr>
            <w:r>
              <w:rPr>
                <w:rFonts w:hint="eastAsia" w:ascii="宋体" w:hAnsi="宋体" w:eastAsia="宋体" w:cs="宋体"/>
                <w:kern w:val="0"/>
                <w:szCs w:val="21"/>
              </w:rPr>
              <w:t>地点</w:t>
            </w:r>
          </w:p>
        </w:tc>
        <w:tc>
          <w:tcPr>
            <w:tcW w:w="1984" w:type="dxa"/>
          </w:tcPr>
          <w:p>
            <w:pPr>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rPr>
                <w:rFonts w:ascii="宋体" w:hAnsi="宋体" w:eastAsia="宋体" w:cs="宋体"/>
                <w:kern w:val="0"/>
                <w:szCs w:val="21"/>
              </w:rPr>
            </w:pPr>
          </w:p>
          <w:p>
            <w:pPr>
              <w:rPr>
                <w:rFonts w:ascii="宋体" w:hAnsi="宋体" w:eastAsia="宋体" w:cs="宋体"/>
                <w:kern w:val="0"/>
                <w:szCs w:val="21"/>
              </w:rPr>
            </w:pPr>
            <w:r>
              <w:rPr>
                <w:rFonts w:hint="eastAsia" w:ascii="宋体" w:hAnsi="宋体" w:eastAsia="宋体" w:cs="宋体"/>
                <w:kern w:val="0"/>
                <w:szCs w:val="21"/>
              </w:rPr>
              <w:t>专业知识测试</w:t>
            </w:r>
          </w:p>
          <w:p>
            <w:pPr>
              <w:rPr>
                <w:rFonts w:ascii="宋体" w:hAnsi="宋体" w:eastAsia="宋体" w:cs="宋体"/>
                <w:kern w:val="0"/>
                <w:szCs w:val="21"/>
              </w:rPr>
            </w:pPr>
            <w:r>
              <w:rPr>
                <w:rFonts w:hint="eastAsia" w:ascii="宋体" w:hAnsi="宋体" w:eastAsia="宋体" w:cs="宋体"/>
                <w:kern w:val="0"/>
                <w:szCs w:val="21"/>
              </w:rPr>
              <w:t>（笔试）</w:t>
            </w:r>
          </w:p>
        </w:tc>
        <w:tc>
          <w:tcPr>
            <w:tcW w:w="2268" w:type="dxa"/>
          </w:tcPr>
          <w:p>
            <w:pPr>
              <w:rPr>
                <w:rFonts w:ascii="宋体" w:hAnsi="宋体" w:eastAsia="宋体" w:cs="宋体"/>
                <w:kern w:val="0"/>
                <w:szCs w:val="21"/>
              </w:rPr>
            </w:pPr>
            <w:r>
              <w:rPr>
                <w:rFonts w:hint="eastAsia" w:ascii="宋体" w:hAnsi="宋体" w:eastAsia="宋体" w:cs="宋体"/>
                <w:kern w:val="0"/>
                <w:szCs w:val="21"/>
              </w:rPr>
              <w:t>调剂审查合格的全体考生（凭身份证、准考证、资格审查合格证明参加笔试）</w:t>
            </w:r>
          </w:p>
        </w:tc>
        <w:tc>
          <w:tcPr>
            <w:tcW w:w="1559" w:type="dxa"/>
          </w:tcPr>
          <w:p>
            <w:pPr>
              <w:rPr>
                <w:rFonts w:ascii="宋体" w:hAnsi="宋体" w:eastAsia="宋体" w:cs="宋体"/>
                <w:kern w:val="0"/>
                <w:szCs w:val="21"/>
              </w:rPr>
            </w:pPr>
            <w:r>
              <w:rPr>
                <w:rFonts w:hint="eastAsia" w:ascii="宋体" w:hAnsi="宋体" w:eastAsia="宋体" w:cs="宋体"/>
                <w:kern w:val="0"/>
                <w:szCs w:val="21"/>
              </w:rPr>
              <w:t>3月22日上午9:00-10:30</w:t>
            </w:r>
          </w:p>
        </w:tc>
        <w:tc>
          <w:tcPr>
            <w:tcW w:w="1418" w:type="dxa"/>
          </w:tcPr>
          <w:p>
            <w:pPr>
              <w:rPr>
                <w:rFonts w:ascii="宋体" w:hAnsi="宋体" w:eastAsia="宋体" w:cs="宋体"/>
                <w:kern w:val="0"/>
                <w:szCs w:val="21"/>
              </w:rPr>
            </w:pPr>
            <w:r>
              <w:rPr>
                <w:rFonts w:hint="eastAsia" w:ascii="宋体" w:hAnsi="宋体" w:eastAsia="宋体" w:cs="宋体"/>
                <w:kern w:val="0"/>
                <w:szCs w:val="21"/>
              </w:rPr>
              <w:t>卫津路校区12教学楼409</w:t>
            </w:r>
          </w:p>
        </w:tc>
        <w:tc>
          <w:tcPr>
            <w:tcW w:w="1984" w:type="dxa"/>
          </w:tcPr>
          <w:p>
            <w:pPr>
              <w:rPr>
                <w:rFonts w:ascii="宋体" w:hAnsi="宋体" w:eastAsia="宋体" w:cs="宋体"/>
                <w:kern w:val="0"/>
                <w:szCs w:val="21"/>
              </w:rPr>
            </w:pPr>
            <w:r>
              <w:rPr>
                <w:rFonts w:hint="eastAsia" w:ascii="宋体" w:hAnsi="宋体" w:eastAsia="宋体" w:cs="宋体"/>
                <w:kern w:val="0"/>
                <w:szCs w:val="21"/>
              </w:rPr>
              <w:t>已参加过第一志愿所报考学院笔试的考生无须再次参加我院笔试。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rPr>
                <w:rFonts w:ascii="宋体" w:hAnsi="宋体" w:eastAsia="宋体" w:cs="宋体"/>
                <w:kern w:val="0"/>
                <w:szCs w:val="21"/>
              </w:rPr>
            </w:pPr>
            <w:r>
              <w:rPr>
                <w:rFonts w:hint="eastAsia" w:ascii="宋体" w:hAnsi="宋体" w:eastAsia="宋体" w:cs="宋体"/>
                <w:kern w:val="0"/>
                <w:szCs w:val="21"/>
              </w:rPr>
              <w:t>外语能力及综合面试</w:t>
            </w:r>
          </w:p>
        </w:tc>
        <w:tc>
          <w:tcPr>
            <w:tcW w:w="2268" w:type="dxa"/>
          </w:tcPr>
          <w:p>
            <w:pPr>
              <w:rPr>
                <w:rFonts w:ascii="宋体" w:hAnsi="宋体" w:eastAsia="宋体" w:cs="宋体"/>
                <w:kern w:val="0"/>
                <w:szCs w:val="21"/>
              </w:rPr>
            </w:pPr>
            <w:r>
              <w:rPr>
                <w:rFonts w:hint="eastAsia" w:ascii="宋体" w:hAnsi="宋体" w:eastAsia="宋体" w:cs="宋体"/>
                <w:kern w:val="0"/>
                <w:szCs w:val="21"/>
              </w:rPr>
              <w:t>调剂审查合格的全体考生（凭有效证件参加面试）</w:t>
            </w:r>
          </w:p>
        </w:tc>
        <w:tc>
          <w:tcPr>
            <w:tcW w:w="1559" w:type="dxa"/>
          </w:tcPr>
          <w:p>
            <w:pPr>
              <w:rPr>
                <w:rFonts w:ascii="宋体" w:hAnsi="宋体" w:eastAsia="宋体" w:cs="宋体"/>
                <w:kern w:val="0"/>
                <w:szCs w:val="21"/>
              </w:rPr>
            </w:pPr>
            <w:r>
              <w:rPr>
                <w:rFonts w:hint="eastAsia" w:ascii="宋体" w:hAnsi="宋体" w:eastAsia="宋体" w:cs="宋体"/>
                <w:kern w:val="0"/>
                <w:szCs w:val="21"/>
              </w:rPr>
              <w:t>3月22日下午13:30-17:00</w:t>
            </w:r>
          </w:p>
        </w:tc>
        <w:tc>
          <w:tcPr>
            <w:tcW w:w="1418" w:type="dxa"/>
          </w:tcPr>
          <w:p>
            <w:pPr>
              <w:rPr>
                <w:rFonts w:ascii="宋体" w:hAnsi="宋体" w:eastAsia="宋体" w:cs="宋体"/>
                <w:kern w:val="0"/>
                <w:szCs w:val="21"/>
              </w:rPr>
            </w:pPr>
            <w:r>
              <w:rPr>
                <w:rFonts w:hint="eastAsia" w:ascii="宋体" w:hAnsi="宋体" w:eastAsia="宋体" w:cs="宋体"/>
                <w:kern w:val="0"/>
                <w:szCs w:val="21"/>
              </w:rPr>
              <w:t>卫津路校区12教学楼411</w:t>
            </w:r>
          </w:p>
        </w:tc>
        <w:tc>
          <w:tcPr>
            <w:tcW w:w="1984" w:type="dxa"/>
          </w:tcPr>
          <w:p>
            <w:pPr>
              <w:rPr>
                <w:rFonts w:ascii="宋体" w:hAnsi="宋体" w:eastAsia="宋体" w:cs="宋体"/>
                <w:kern w:val="0"/>
                <w:szCs w:val="21"/>
                <w:highlight w:val="yellow"/>
              </w:rPr>
            </w:pPr>
            <w:r>
              <w:rPr>
                <w:rFonts w:hint="eastAsia" w:ascii="宋体" w:hAnsi="宋体" w:eastAsia="宋体" w:cs="宋体"/>
                <w:kern w:val="0"/>
                <w:szCs w:val="21"/>
              </w:rPr>
              <w:t>具体分组名单另行通知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26" w:type="dxa"/>
          </w:tcPr>
          <w:p>
            <w:pPr>
              <w:rPr>
                <w:rFonts w:ascii="宋体" w:hAnsi="宋体" w:eastAsia="宋体" w:cs="宋体"/>
                <w:kern w:val="0"/>
                <w:szCs w:val="21"/>
              </w:rPr>
            </w:pPr>
            <w:r>
              <w:rPr>
                <w:rFonts w:hint="eastAsia" w:ascii="宋体" w:hAnsi="宋体" w:eastAsia="宋体" w:cs="宋体"/>
                <w:kern w:val="0"/>
                <w:szCs w:val="21"/>
              </w:rPr>
              <w:t>法国工程师学衔招生面试</w:t>
            </w:r>
          </w:p>
        </w:tc>
        <w:tc>
          <w:tcPr>
            <w:tcW w:w="2268" w:type="dxa"/>
          </w:tcPr>
          <w:p>
            <w:pPr>
              <w:rPr>
                <w:rFonts w:ascii="宋体" w:hAnsi="宋体" w:eastAsia="宋体" w:cs="宋体"/>
                <w:kern w:val="0"/>
                <w:szCs w:val="21"/>
              </w:rPr>
            </w:pPr>
            <w:r>
              <w:rPr>
                <w:rFonts w:hint="eastAsia" w:ascii="宋体" w:hAnsi="宋体" w:eastAsia="宋体" w:cs="宋体"/>
                <w:kern w:val="0"/>
                <w:szCs w:val="21"/>
              </w:rPr>
              <w:t>天津大学研究生招生复试合格的全体考生（凭有效证件参加面试）</w:t>
            </w:r>
          </w:p>
        </w:tc>
        <w:tc>
          <w:tcPr>
            <w:tcW w:w="1559" w:type="dxa"/>
          </w:tcPr>
          <w:p>
            <w:pPr>
              <w:rPr>
                <w:rFonts w:ascii="宋体" w:hAnsi="宋体" w:eastAsia="宋体" w:cs="宋体"/>
                <w:kern w:val="0"/>
                <w:szCs w:val="21"/>
              </w:rPr>
            </w:pPr>
            <w:r>
              <w:rPr>
                <w:rFonts w:hint="eastAsia" w:ascii="宋体" w:hAnsi="宋体" w:eastAsia="宋体" w:cs="宋体"/>
                <w:kern w:val="0"/>
                <w:szCs w:val="21"/>
              </w:rPr>
              <w:t>3月22日下午13:30-17:00</w:t>
            </w:r>
          </w:p>
        </w:tc>
        <w:tc>
          <w:tcPr>
            <w:tcW w:w="1418" w:type="dxa"/>
          </w:tcPr>
          <w:p>
            <w:pPr>
              <w:rPr>
                <w:rFonts w:ascii="宋体" w:hAnsi="宋体" w:eastAsia="宋体" w:cs="宋体"/>
                <w:kern w:val="0"/>
                <w:szCs w:val="21"/>
              </w:rPr>
            </w:pPr>
            <w:r>
              <w:rPr>
                <w:rFonts w:hint="eastAsia" w:ascii="宋体" w:hAnsi="宋体" w:eastAsia="宋体" w:cs="宋体"/>
                <w:kern w:val="0"/>
                <w:szCs w:val="21"/>
              </w:rPr>
              <w:t>卫津路校区12教学楼411</w:t>
            </w:r>
          </w:p>
        </w:tc>
        <w:tc>
          <w:tcPr>
            <w:tcW w:w="1984" w:type="dxa"/>
          </w:tcPr>
          <w:p>
            <w:pPr>
              <w:rPr>
                <w:rFonts w:ascii="宋体" w:hAnsi="宋体" w:eastAsia="宋体" w:cs="宋体"/>
                <w:kern w:val="0"/>
                <w:szCs w:val="21"/>
                <w:highlight w:val="yellow"/>
              </w:rPr>
            </w:pPr>
            <w:r>
              <w:rPr>
                <w:rFonts w:hint="eastAsia" w:ascii="宋体" w:hAnsi="宋体" w:eastAsia="宋体" w:cs="宋体"/>
                <w:kern w:val="0"/>
                <w:szCs w:val="21"/>
              </w:rPr>
              <w:t>具体分组名单另行通知</w:t>
            </w:r>
          </w:p>
        </w:tc>
      </w:tr>
    </w:tbl>
    <w:p>
      <w:pPr>
        <w:rPr>
          <w:sz w:val="24"/>
          <w:szCs w:val="24"/>
        </w:rPr>
      </w:pPr>
      <w:r>
        <w:rPr>
          <w:rFonts w:hint="eastAsia"/>
          <w:sz w:val="24"/>
          <w:szCs w:val="24"/>
        </w:rPr>
        <w:t>注：法国工程师学衔招生面试与天津大学硕士研究生复试综合面试时间一致,但按照两个不同的评分体系。另如有后续笔面试安排，将及时发布至国际工程师学院网站，请保持手机畅通。</w:t>
      </w:r>
    </w:p>
    <w:p>
      <w:pPr>
        <w:rPr>
          <w:sz w:val="24"/>
          <w:szCs w:val="24"/>
        </w:rPr>
      </w:pPr>
    </w:p>
    <w:p>
      <w:pPr>
        <w:pStyle w:val="12"/>
        <w:numPr>
          <w:ilvl w:val="0"/>
          <w:numId w:val="1"/>
        </w:numPr>
        <w:spacing w:line="360" w:lineRule="auto"/>
        <w:ind w:firstLineChars="0"/>
        <w:rPr>
          <w:b/>
          <w:sz w:val="24"/>
          <w:szCs w:val="24"/>
        </w:rPr>
      </w:pPr>
      <w:r>
        <w:rPr>
          <w:rFonts w:hint="eastAsia"/>
          <w:b/>
          <w:sz w:val="24"/>
          <w:szCs w:val="24"/>
        </w:rPr>
        <w:t>复试内容及标准</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3827"/>
        <w:gridCol w:w="37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pStyle w:val="12"/>
              <w:spacing w:line="360" w:lineRule="auto"/>
              <w:ind w:firstLine="0" w:firstLineChars="0"/>
              <w:jc w:val="center"/>
              <w:rPr>
                <w:b/>
                <w:sz w:val="24"/>
                <w:szCs w:val="24"/>
              </w:rPr>
            </w:pPr>
          </w:p>
        </w:tc>
        <w:tc>
          <w:tcPr>
            <w:tcW w:w="3827" w:type="dxa"/>
          </w:tcPr>
          <w:p>
            <w:pPr>
              <w:pStyle w:val="12"/>
              <w:spacing w:line="360" w:lineRule="auto"/>
              <w:ind w:firstLine="0" w:firstLineChars="0"/>
              <w:jc w:val="center"/>
              <w:rPr>
                <w:sz w:val="24"/>
                <w:szCs w:val="24"/>
              </w:rPr>
            </w:pPr>
            <w:r>
              <w:rPr>
                <w:rFonts w:hint="eastAsia"/>
                <w:sz w:val="24"/>
                <w:szCs w:val="24"/>
              </w:rPr>
              <w:t>天津大学研究生招生复试要求</w:t>
            </w:r>
          </w:p>
        </w:tc>
        <w:tc>
          <w:tcPr>
            <w:tcW w:w="3736" w:type="dxa"/>
          </w:tcPr>
          <w:p>
            <w:pPr>
              <w:pStyle w:val="12"/>
              <w:spacing w:line="360" w:lineRule="auto"/>
              <w:ind w:firstLine="0" w:firstLineChars="0"/>
              <w:jc w:val="center"/>
              <w:rPr>
                <w:sz w:val="24"/>
                <w:szCs w:val="24"/>
              </w:rPr>
            </w:pPr>
            <w:r>
              <w:rPr>
                <w:rFonts w:hint="eastAsia"/>
                <w:sz w:val="24"/>
                <w:szCs w:val="24"/>
              </w:rPr>
              <w:t>法国工程师学衔招生复试要求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pStyle w:val="12"/>
              <w:spacing w:line="360" w:lineRule="auto"/>
              <w:ind w:firstLine="0" w:firstLineChars="0"/>
              <w:rPr>
                <w:b/>
                <w:sz w:val="24"/>
                <w:szCs w:val="24"/>
              </w:rPr>
            </w:pPr>
          </w:p>
          <w:p>
            <w:pPr>
              <w:pStyle w:val="12"/>
              <w:spacing w:line="360" w:lineRule="auto"/>
              <w:ind w:firstLine="0" w:firstLineChars="0"/>
              <w:rPr>
                <w:b/>
                <w:sz w:val="24"/>
                <w:szCs w:val="24"/>
              </w:rPr>
            </w:pPr>
          </w:p>
          <w:p>
            <w:pPr>
              <w:pStyle w:val="12"/>
              <w:spacing w:line="360" w:lineRule="auto"/>
              <w:ind w:firstLine="0" w:firstLineChars="0"/>
              <w:rPr>
                <w:b/>
                <w:sz w:val="24"/>
                <w:szCs w:val="24"/>
              </w:rPr>
            </w:pPr>
          </w:p>
          <w:p>
            <w:pPr>
              <w:pStyle w:val="12"/>
              <w:spacing w:line="360" w:lineRule="auto"/>
              <w:ind w:firstLine="0" w:firstLineChars="0"/>
              <w:rPr>
                <w:b/>
                <w:sz w:val="24"/>
                <w:szCs w:val="24"/>
              </w:rPr>
            </w:pPr>
          </w:p>
          <w:p>
            <w:pPr>
              <w:pStyle w:val="12"/>
              <w:spacing w:line="360" w:lineRule="auto"/>
              <w:ind w:firstLine="0" w:firstLineChars="0"/>
              <w:rPr>
                <w:b/>
                <w:sz w:val="24"/>
                <w:szCs w:val="24"/>
              </w:rPr>
            </w:pPr>
          </w:p>
          <w:p>
            <w:pPr>
              <w:pStyle w:val="12"/>
              <w:spacing w:line="360" w:lineRule="auto"/>
              <w:ind w:firstLine="0" w:firstLineChars="0"/>
              <w:rPr>
                <w:b/>
                <w:sz w:val="24"/>
                <w:szCs w:val="24"/>
              </w:rPr>
            </w:pPr>
            <w:r>
              <w:rPr>
                <w:rFonts w:hint="eastAsia"/>
                <w:b/>
                <w:sz w:val="24"/>
                <w:szCs w:val="24"/>
              </w:rPr>
              <w:t>复试</w:t>
            </w:r>
          </w:p>
          <w:p>
            <w:pPr>
              <w:pStyle w:val="12"/>
              <w:spacing w:line="360" w:lineRule="auto"/>
              <w:ind w:firstLine="0" w:firstLineChars="0"/>
              <w:rPr>
                <w:b/>
                <w:sz w:val="24"/>
                <w:szCs w:val="24"/>
              </w:rPr>
            </w:pPr>
            <w:r>
              <w:rPr>
                <w:rFonts w:hint="eastAsia"/>
                <w:b/>
                <w:sz w:val="24"/>
                <w:szCs w:val="24"/>
              </w:rPr>
              <w:t>内容</w:t>
            </w:r>
          </w:p>
        </w:tc>
        <w:tc>
          <w:tcPr>
            <w:tcW w:w="3827" w:type="dxa"/>
          </w:tcPr>
          <w:p>
            <w:pPr>
              <w:pStyle w:val="12"/>
              <w:numPr>
                <w:ilvl w:val="0"/>
                <w:numId w:val="4"/>
              </w:numPr>
              <w:ind w:left="0" w:firstLine="0" w:firstLineChars="0"/>
              <w:rPr>
                <w:szCs w:val="21"/>
              </w:rPr>
            </w:pPr>
            <w:r>
              <w:rPr>
                <w:rFonts w:hint="eastAsia"/>
                <w:szCs w:val="21"/>
              </w:rPr>
              <w:t>专业能力考核：</w:t>
            </w:r>
          </w:p>
          <w:p>
            <w:pPr>
              <w:pStyle w:val="12"/>
              <w:numPr>
                <w:ilvl w:val="0"/>
                <w:numId w:val="5"/>
              </w:numPr>
              <w:ind w:firstLineChars="0"/>
              <w:rPr>
                <w:szCs w:val="21"/>
              </w:rPr>
            </w:pPr>
            <w:r>
              <w:rPr>
                <w:rFonts w:hint="eastAsia"/>
                <w:szCs w:val="21"/>
              </w:rPr>
              <w:t>外语听说能力测试采用面试方式进行，包括公共外语和专业外语；</w:t>
            </w:r>
          </w:p>
          <w:p>
            <w:pPr>
              <w:pStyle w:val="12"/>
              <w:numPr>
                <w:ilvl w:val="0"/>
                <w:numId w:val="5"/>
              </w:numPr>
              <w:ind w:firstLineChars="0"/>
              <w:rPr>
                <w:szCs w:val="21"/>
              </w:rPr>
            </w:pPr>
            <w:r>
              <w:rPr>
                <w:rFonts w:hint="eastAsia"/>
                <w:szCs w:val="21"/>
              </w:rPr>
              <w:t>专业课笔试主要测试学生专业素质和专业能力，考试时间为90分钟；</w:t>
            </w:r>
          </w:p>
          <w:p>
            <w:pPr>
              <w:pStyle w:val="12"/>
              <w:numPr>
                <w:ilvl w:val="0"/>
                <w:numId w:val="4"/>
              </w:numPr>
              <w:ind w:left="0" w:firstLine="0" w:firstLineChars="0"/>
              <w:rPr>
                <w:szCs w:val="21"/>
              </w:rPr>
            </w:pPr>
            <w:r>
              <w:rPr>
                <w:rFonts w:hint="eastAsia"/>
                <w:szCs w:val="21"/>
              </w:rPr>
              <w:t>综合素质考核：</w:t>
            </w:r>
          </w:p>
          <w:p>
            <w:pPr>
              <w:pStyle w:val="12"/>
              <w:numPr>
                <w:ilvl w:val="0"/>
                <w:numId w:val="5"/>
              </w:numPr>
              <w:ind w:firstLineChars="0"/>
              <w:rPr>
                <w:szCs w:val="21"/>
              </w:rPr>
            </w:pPr>
            <w:r>
              <w:rPr>
                <w:rFonts w:hint="eastAsia"/>
                <w:szCs w:val="21"/>
              </w:rPr>
              <w:t>实验（实践）能力测试对于理工科类考生主要测试其实验和动手操作技能，根据各专业要求，采用上机操作或面试方式进行，具体安排见上述复试安排。</w:t>
            </w:r>
          </w:p>
          <w:p>
            <w:pPr>
              <w:pStyle w:val="12"/>
              <w:numPr>
                <w:ilvl w:val="0"/>
                <w:numId w:val="5"/>
              </w:numPr>
              <w:ind w:firstLineChars="0"/>
              <w:rPr>
                <w:b/>
                <w:szCs w:val="21"/>
              </w:rPr>
            </w:pPr>
            <w:r>
              <w:rPr>
                <w:rFonts w:hint="eastAsia"/>
                <w:szCs w:val="21"/>
              </w:rPr>
              <w:t>综合面试考核内容应涉及考生思想政治素质和道德品质考核，考生的创新精神和创新能力考核，考生理论知识和应用技能掌握程度、利用所学理论发现、分析和解决问题的能力考核，考生对报考专业发展动态了解以及在本专业发展潜力考核；考生的科研和社会工作能力、实践经历考核，考生的事业心、责任感、协作性和心理素质以及举止礼仪和表达能力考核等。</w:t>
            </w:r>
          </w:p>
        </w:tc>
        <w:tc>
          <w:tcPr>
            <w:tcW w:w="3736" w:type="dxa"/>
          </w:tcPr>
          <w:p>
            <w:pPr>
              <w:pStyle w:val="12"/>
              <w:numPr>
                <w:ilvl w:val="0"/>
                <w:numId w:val="6"/>
              </w:numPr>
              <w:ind w:firstLineChars="0"/>
              <w:rPr>
                <w:rFonts w:ascii="Calibri" w:hAnsi="Calibri" w:eastAsia="宋体" w:cs="Times New Roman"/>
                <w:szCs w:val="21"/>
              </w:rPr>
            </w:pPr>
            <w:r>
              <w:rPr>
                <w:rFonts w:hint="eastAsia" w:ascii="Calibri" w:hAnsi="Calibri" w:eastAsia="宋体" w:cs="Times New Roman"/>
                <w:szCs w:val="21"/>
              </w:rPr>
              <w:t>外国语听说能力测试</w:t>
            </w:r>
          </w:p>
          <w:p>
            <w:pPr>
              <w:pStyle w:val="12"/>
              <w:numPr>
                <w:ilvl w:val="0"/>
                <w:numId w:val="7"/>
              </w:numPr>
              <w:ind w:firstLineChars="0"/>
              <w:rPr>
                <w:rFonts w:ascii="Calibri" w:hAnsi="Calibri" w:eastAsia="宋体" w:cs="Times New Roman"/>
                <w:szCs w:val="21"/>
              </w:rPr>
            </w:pPr>
            <w:r>
              <w:rPr>
                <w:rFonts w:hint="eastAsia" w:ascii="Calibri" w:hAnsi="Calibri" w:eastAsia="宋体" w:cs="Times New Roman"/>
                <w:szCs w:val="21"/>
              </w:rPr>
              <w:t>外语听力测试（10分）</w:t>
            </w:r>
          </w:p>
          <w:p>
            <w:pPr>
              <w:pStyle w:val="12"/>
              <w:numPr>
                <w:ilvl w:val="0"/>
                <w:numId w:val="7"/>
              </w:numPr>
              <w:ind w:firstLineChars="0"/>
              <w:rPr>
                <w:rFonts w:ascii="Calibri" w:hAnsi="Calibri" w:eastAsia="宋体" w:cs="Times New Roman"/>
                <w:szCs w:val="21"/>
              </w:rPr>
            </w:pPr>
            <w:r>
              <w:rPr>
                <w:rFonts w:hint="eastAsia" w:ascii="Calibri" w:hAnsi="Calibri" w:eastAsia="宋体" w:cs="Times New Roman"/>
                <w:szCs w:val="21"/>
              </w:rPr>
              <w:t>外语口语测试（10分）</w:t>
            </w:r>
          </w:p>
          <w:p>
            <w:pPr>
              <w:pStyle w:val="12"/>
              <w:numPr>
                <w:ilvl w:val="0"/>
                <w:numId w:val="6"/>
              </w:numPr>
              <w:ind w:firstLineChars="0"/>
              <w:rPr>
                <w:rFonts w:ascii="Calibri" w:hAnsi="Calibri" w:eastAsia="宋体" w:cs="Times New Roman"/>
                <w:szCs w:val="21"/>
              </w:rPr>
            </w:pPr>
            <w:r>
              <w:rPr>
                <w:rFonts w:hint="eastAsia" w:ascii="Calibri" w:hAnsi="Calibri" w:eastAsia="宋体" w:cs="Times New Roman"/>
                <w:szCs w:val="21"/>
              </w:rPr>
              <w:t>综合素质与能力考核 5个指标</w:t>
            </w:r>
          </w:p>
          <w:p>
            <w:pPr>
              <w:pStyle w:val="12"/>
              <w:numPr>
                <w:ilvl w:val="0"/>
                <w:numId w:val="5"/>
              </w:numPr>
              <w:ind w:firstLineChars="0"/>
              <w:rPr>
                <w:rFonts w:ascii="Calibri" w:hAnsi="Calibri" w:eastAsia="宋体" w:cs="Times New Roman"/>
                <w:szCs w:val="21"/>
              </w:rPr>
            </w:pPr>
            <w:r>
              <w:rPr>
                <w:rFonts w:hint="eastAsia" w:ascii="Calibri" w:hAnsi="Calibri" w:eastAsia="宋体" w:cs="Times New Roman"/>
                <w:szCs w:val="21"/>
              </w:rPr>
              <w:t>举止礼仪、思想政治素质、道德品质和心理健康考核（15分）</w:t>
            </w:r>
          </w:p>
          <w:p>
            <w:pPr>
              <w:pStyle w:val="12"/>
              <w:numPr>
                <w:ilvl w:val="0"/>
                <w:numId w:val="5"/>
              </w:numPr>
              <w:ind w:firstLineChars="0"/>
              <w:rPr>
                <w:rFonts w:ascii="Calibri" w:hAnsi="Calibri" w:eastAsia="宋体" w:cs="Times New Roman"/>
                <w:szCs w:val="21"/>
              </w:rPr>
            </w:pPr>
            <w:r>
              <w:rPr>
                <w:rFonts w:hint="eastAsia" w:ascii="Calibri" w:hAnsi="Calibri" w:eastAsia="宋体" w:cs="Times New Roman"/>
                <w:szCs w:val="21"/>
              </w:rPr>
              <w:t>科学精神、团队精神、创新意识、沟通表达、理解力（20分）</w:t>
            </w:r>
          </w:p>
          <w:p>
            <w:pPr>
              <w:pStyle w:val="12"/>
              <w:numPr>
                <w:ilvl w:val="0"/>
                <w:numId w:val="5"/>
              </w:numPr>
              <w:ind w:firstLineChars="0"/>
              <w:rPr>
                <w:rFonts w:ascii="Calibri" w:hAnsi="Calibri" w:eastAsia="宋体" w:cs="Times New Roman"/>
                <w:szCs w:val="21"/>
              </w:rPr>
            </w:pPr>
            <w:r>
              <w:rPr>
                <w:rFonts w:hint="eastAsia" w:ascii="Calibri" w:hAnsi="Calibri" w:eastAsia="宋体" w:cs="Times New Roman"/>
                <w:szCs w:val="21"/>
              </w:rPr>
              <w:t>学习、科研、竞赛及社会实践情况（20分）</w:t>
            </w:r>
          </w:p>
          <w:p>
            <w:pPr>
              <w:pStyle w:val="12"/>
              <w:numPr>
                <w:ilvl w:val="0"/>
                <w:numId w:val="5"/>
              </w:numPr>
              <w:ind w:firstLineChars="0"/>
              <w:rPr>
                <w:rFonts w:ascii="Calibri" w:hAnsi="Calibri" w:eastAsia="宋体" w:cs="Times New Roman"/>
                <w:szCs w:val="21"/>
              </w:rPr>
            </w:pPr>
            <w:r>
              <w:rPr>
                <w:rFonts w:hint="eastAsia" w:ascii="Calibri" w:hAnsi="Calibri" w:eastAsia="宋体" w:cs="Times New Roman"/>
                <w:szCs w:val="21"/>
              </w:rPr>
              <w:t>自信心、责任感、自制力、领导力、应变力（10分）</w:t>
            </w:r>
          </w:p>
          <w:p>
            <w:pPr>
              <w:pStyle w:val="12"/>
              <w:numPr>
                <w:ilvl w:val="0"/>
                <w:numId w:val="5"/>
              </w:numPr>
              <w:ind w:firstLineChars="0"/>
              <w:rPr>
                <w:szCs w:val="21"/>
              </w:rPr>
            </w:pPr>
            <w:r>
              <w:rPr>
                <w:rFonts w:hint="eastAsia" w:ascii="Calibri" w:hAnsi="Calibri" w:eastAsia="宋体" w:cs="Times New Roman"/>
                <w:szCs w:val="21"/>
              </w:rPr>
              <w:t>知识结构、专业匹配度、对未来三年的规划及新专业环境的适应性（15分）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pStyle w:val="12"/>
              <w:spacing w:line="360" w:lineRule="auto"/>
              <w:ind w:firstLine="0" w:firstLineChars="0"/>
              <w:rPr>
                <w:b/>
                <w:sz w:val="24"/>
                <w:szCs w:val="24"/>
              </w:rPr>
            </w:pPr>
          </w:p>
          <w:p>
            <w:pPr>
              <w:pStyle w:val="12"/>
              <w:spacing w:line="360" w:lineRule="auto"/>
              <w:ind w:firstLine="0" w:firstLineChars="0"/>
              <w:rPr>
                <w:b/>
                <w:sz w:val="24"/>
                <w:szCs w:val="24"/>
              </w:rPr>
            </w:pPr>
          </w:p>
          <w:p>
            <w:pPr>
              <w:pStyle w:val="12"/>
              <w:spacing w:line="360" w:lineRule="auto"/>
              <w:ind w:firstLine="0" w:firstLineChars="0"/>
              <w:rPr>
                <w:b/>
                <w:sz w:val="24"/>
                <w:szCs w:val="24"/>
              </w:rPr>
            </w:pPr>
          </w:p>
          <w:p>
            <w:pPr>
              <w:pStyle w:val="12"/>
              <w:spacing w:line="360" w:lineRule="auto"/>
              <w:ind w:firstLine="0" w:firstLineChars="0"/>
              <w:rPr>
                <w:b/>
                <w:sz w:val="24"/>
                <w:szCs w:val="24"/>
              </w:rPr>
            </w:pPr>
          </w:p>
          <w:p>
            <w:pPr>
              <w:pStyle w:val="12"/>
              <w:spacing w:line="360" w:lineRule="auto"/>
              <w:ind w:firstLine="0" w:firstLineChars="0"/>
              <w:rPr>
                <w:b/>
                <w:sz w:val="24"/>
                <w:szCs w:val="24"/>
              </w:rPr>
            </w:pPr>
            <w:r>
              <w:rPr>
                <w:rFonts w:hint="eastAsia"/>
                <w:b/>
                <w:sz w:val="24"/>
                <w:szCs w:val="24"/>
              </w:rPr>
              <w:t>评分</w:t>
            </w:r>
          </w:p>
          <w:p>
            <w:pPr>
              <w:pStyle w:val="12"/>
              <w:spacing w:line="360" w:lineRule="auto"/>
              <w:ind w:firstLine="0" w:firstLineChars="0"/>
              <w:rPr>
                <w:b/>
                <w:sz w:val="24"/>
                <w:szCs w:val="24"/>
              </w:rPr>
            </w:pPr>
            <w:r>
              <w:rPr>
                <w:rFonts w:hint="eastAsia"/>
                <w:b/>
                <w:sz w:val="24"/>
                <w:szCs w:val="24"/>
              </w:rPr>
              <w:t>标准</w:t>
            </w:r>
          </w:p>
        </w:tc>
        <w:tc>
          <w:tcPr>
            <w:tcW w:w="3827" w:type="dxa"/>
          </w:tcPr>
          <w:tbl>
            <w:tblPr>
              <w:tblStyle w:val="9"/>
              <w:tblpPr w:leftFromText="180" w:rightFromText="180" w:tblpY="915"/>
              <w:tblOverlap w:val="never"/>
              <w:tblW w:w="360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0"/>
              <w:gridCol w:w="1918"/>
              <w:gridCol w:w="8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0" w:type="dxa"/>
                </w:tcPr>
                <w:p>
                  <w:pPr>
                    <w:jc w:val="center"/>
                    <w:rPr>
                      <w:szCs w:val="21"/>
                    </w:rPr>
                  </w:pPr>
                  <w:r>
                    <w:rPr>
                      <w:rFonts w:hint="eastAsia"/>
                      <w:szCs w:val="21"/>
                    </w:rPr>
                    <w:t>复试</w:t>
                  </w:r>
                </w:p>
                <w:p>
                  <w:pPr>
                    <w:jc w:val="center"/>
                    <w:rPr>
                      <w:szCs w:val="21"/>
                    </w:rPr>
                  </w:pPr>
                  <w:r>
                    <w:rPr>
                      <w:rFonts w:hint="eastAsia"/>
                      <w:szCs w:val="21"/>
                    </w:rPr>
                    <w:t>内容</w:t>
                  </w:r>
                </w:p>
              </w:tc>
              <w:tc>
                <w:tcPr>
                  <w:tcW w:w="1918" w:type="dxa"/>
                </w:tcPr>
                <w:p>
                  <w:pPr>
                    <w:jc w:val="center"/>
                    <w:rPr>
                      <w:szCs w:val="21"/>
                    </w:rPr>
                  </w:pPr>
                  <w:r>
                    <w:rPr>
                      <w:rFonts w:hint="eastAsia"/>
                      <w:szCs w:val="21"/>
                    </w:rPr>
                    <w:t>考核范围</w:t>
                  </w:r>
                </w:p>
              </w:tc>
              <w:tc>
                <w:tcPr>
                  <w:tcW w:w="833" w:type="dxa"/>
                </w:tcPr>
                <w:p>
                  <w:pPr>
                    <w:jc w:val="center"/>
                    <w:rPr>
                      <w:szCs w:val="21"/>
                    </w:rPr>
                  </w:pPr>
                  <w:r>
                    <w:rPr>
                      <w:rFonts w:hint="eastAsia"/>
                      <w:szCs w:val="21"/>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0" w:type="dxa"/>
                  <w:vMerge w:val="restart"/>
                </w:tcPr>
                <w:p>
                  <w:pPr>
                    <w:rPr>
                      <w:szCs w:val="21"/>
                    </w:rPr>
                  </w:pPr>
                  <w:r>
                    <w:rPr>
                      <w:rFonts w:hint="eastAsia"/>
                      <w:szCs w:val="21"/>
                    </w:rPr>
                    <w:t>专业能力考核</w:t>
                  </w:r>
                </w:p>
              </w:tc>
              <w:tc>
                <w:tcPr>
                  <w:tcW w:w="1918" w:type="dxa"/>
                </w:tcPr>
                <w:p>
                  <w:pPr>
                    <w:rPr>
                      <w:szCs w:val="21"/>
                    </w:rPr>
                  </w:pPr>
                  <w:r>
                    <w:rPr>
                      <w:rFonts w:hint="eastAsia"/>
                      <w:szCs w:val="21"/>
                    </w:rPr>
                    <w:t>专业知识测试</w:t>
                  </w:r>
                </w:p>
              </w:tc>
              <w:tc>
                <w:tcPr>
                  <w:tcW w:w="833" w:type="dxa"/>
                </w:tcPr>
                <w:p>
                  <w:pPr>
                    <w:rPr>
                      <w:szCs w:val="21"/>
                    </w:rPr>
                  </w:pPr>
                  <w:r>
                    <w:rPr>
                      <w:rFonts w:hint="eastAsia"/>
                      <w:szCs w:val="21"/>
                    </w:rPr>
                    <w:t>65分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0" w:type="dxa"/>
                  <w:vMerge w:val="continue"/>
                </w:tcPr>
                <w:p>
                  <w:pPr>
                    <w:rPr>
                      <w:szCs w:val="21"/>
                    </w:rPr>
                  </w:pPr>
                </w:p>
              </w:tc>
              <w:tc>
                <w:tcPr>
                  <w:tcW w:w="1918" w:type="dxa"/>
                </w:tcPr>
                <w:p>
                  <w:pPr>
                    <w:rPr>
                      <w:szCs w:val="21"/>
                    </w:rPr>
                  </w:pPr>
                  <w:r>
                    <w:rPr>
                      <w:rFonts w:hint="eastAsia"/>
                      <w:szCs w:val="21"/>
                    </w:rPr>
                    <w:t>外语听说能力测试</w:t>
                  </w:r>
                </w:p>
              </w:tc>
              <w:tc>
                <w:tcPr>
                  <w:tcW w:w="833" w:type="dxa"/>
                </w:tcPr>
                <w:p>
                  <w:pPr>
                    <w:rPr>
                      <w:szCs w:val="21"/>
                    </w:rPr>
                  </w:pPr>
                  <w:r>
                    <w:rPr>
                      <w:rFonts w:hint="eastAsia"/>
                      <w:szCs w:val="21"/>
                    </w:rPr>
                    <w:t>15分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50" w:type="dxa"/>
                  <w:vMerge w:val="restart"/>
                </w:tcPr>
                <w:p>
                  <w:pPr>
                    <w:rPr>
                      <w:szCs w:val="21"/>
                    </w:rPr>
                  </w:pPr>
                  <w:r>
                    <w:rPr>
                      <w:rFonts w:hint="eastAsia"/>
                      <w:szCs w:val="21"/>
                    </w:rPr>
                    <w:t>综合素质考核</w:t>
                  </w:r>
                </w:p>
              </w:tc>
              <w:tc>
                <w:tcPr>
                  <w:tcW w:w="1918" w:type="dxa"/>
                </w:tcPr>
                <w:p>
                  <w:pPr>
                    <w:rPr>
                      <w:szCs w:val="21"/>
                    </w:rPr>
                  </w:pPr>
                  <w:r>
                    <w:rPr>
                      <w:rFonts w:hint="eastAsia"/>
                      <w:szCs w:val="21"/>
                    </w:rPr>
                    <w:t>实验（实践）能力测试</w:t>
                  </w:r>
                </w:p>
              </w:tc>
              <w:tc>
                <w:tcPr>
                  <w:tcW w:w="833" w:type="dxa"/>
                </w:tcPr>
                <w:p>
                  <w:pPr>
                    <w:rPr>
                      <w:szCs w:val="21"/>
                    </w:rPr>
                  </w:pPr>
                  <w:r>
                    <w:rPr>
                      <w:rFonts w:hint="eastAsia"/>
                      <w:szCs w:val="21"/>
                    </w:rPr>
                    <w:t>30分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0" w:type="dxa"/>
                  <w:vMerge w:val="continue"/>
                </w:tcPr>
                <w:p>
                  <w:pPr>
                    <w:rPr>
                      <w:szCs w:val="21"/>
                    </w:rPr>
                  </w:pPr>
                </w:p>
              </w:tc>
              <w:tc>
                <w:tcPr>
                  <w:tcW w:w="1918" w:type="dxa"/>
                </w:tcPr>
                <w:p>
                  <w:pPr>
                    <w:rPr>
                      <w:szCs w:val="21"/>
                    </w:rPr>
                  </w:pPr>
                  <w:r>
                    <w:rPr>
                      <w:rFonts w:hint="eastAsia"/>
                      <w:szCs w:val="21"/>
                    </w:rPr>
                    <w:t>综合面试</w:t>
                  </w:r>
                </w:p>
              </w:tc>
              <w:tc>
                <w:tcPr>
                  <w:tcW w:w="833" w:type="dxa"/>
                </w:tcPr>
                <w:p>
                  <w:pPr>
                    <w:rPr>
                      <w:szCs w:val="21"/>
                    </w:rPr>
                  </w:pPr>
                  <w:r>
                    <w:rPr>
                      <w:rFonts w:hint="eastAsia"/>
                      <w:szCs w:val="21"/>
                    </w:rPr>
                    <w:t>90分</w:t>
                  </w:r>
                </w:p>
              </w:tc>
            </w:tr>
          </w:tbl>
          <w:p>
            <w:pPr>
              <w:pStyle w:val="12"/>
              <w:spacing w:line="360" w:lineRule="auto"/>
              <w:ind w:firstLine="0" w:firstLineChars="0"/>
              <w:rPr>
                <w:b/>
                <w:sz w:val="24"/>
                <w:szCs w:val="24"/>
              </w:rPr>
            </w:pPr>
          </w:p>
        </w:tc>
        <w:tc>
          <w:tcPr>
            <w:tcW w:w="3736" w:type="dxa"/>
          </w:tcPr>
          <w:tbl>
            <w:tblPr>
              <w:tblStyle w:val="9"/>
              <w:tblW w:w="351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8"/>
              <w:gridCol w:w="2353"/>
              <w:gridCol w:w="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8" w:type="dxa"/>
                </w:tcPr>
                <w:p>
                  <w:pPr>
                    <w:jc w:val="center"/>
                    <w:rPr>
                      <w:szCs w:val="21"/>
                    </w:rPr>
                  </w:pPr>
                  <w:r>
                    <w:rPr>
                      <w:rFonts w:hint="eastAsia"/>
                      <w:szCs w:val="21"/>
                    </w:rPr>
                    <w:t>复试内容</w:t>
                  </w:r>
                </w:p>
              </w:tc>
              <w:tc>
                <w:tcPr>
                  <w:tcW w:w="2353" w:type="dxa"/>
                </w:tcPr>
                <w:p>
                  <w:pPr>
                    <w:jc w:val="center"/>
                    <w:rPr>
                      <w:szCs w:val="21"/>
                    </w:rPr>
                  </w:pPr>
                  <w:r>
                    <w:rPr>
                      <w:rFonts w:hint="eastAsia"/>
                      <w:szCs w:val="21"/>
                    </w:rPr>
                    <w:t>考核范围</w:t>
                  </w:r>
                </w:p>
              </w:tc>
              <w:tc>
                <w:tcPr>
                  <w:tcW w:w="429" w:type="dxa"/>
                </w:tcPr>
                <w:p>
                  <w:pPr>
                    <w:jc w:val="center"/>
                    <w:rPr>
                      <w:szCs w:val="21"/>
                    </w:rPr>
                  </w:pPr>
                  <w:r>
                    <w:rPr>
                      <w:rFonts w:hint="eastAsia"/>
                      <w:szCs w:val="21"/>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40" w:hRule="atLeast"/>
                <w:jc w:val="center"/>
              </w:trPr>
              <w:tc>
                <w:tcPr>
                  <w:tcW w:w="728" w:type="dxa"/>
                  <w:vMerge w:val="restart"/>
                </w:tcPr>
                <w:p>
                  <w:pPr>
                    <w:rPr>
                      <w:szCs w:val="21"/>
                    </w:rPr>
                  </w:pPr>
                  <w:r>
                    <w:rPr>
                      <w:rFonts w:hint="eastAsia"/>
                      <w:szCs w:val="21"/>
                    </w:rPr>
                    <w:t>外国语听说能力</w:t>
                  </w:r>
                </w:p>
              </w:tc>
              <w:tc>
                <w:tcPr>
                  <w:tcW w:w="2353" w:type="dxa"/>
                </w:tcPr>
                <w:p>
                  <w:pPr>
                    <w:rPr>
                      <w:szCs w:val="21"/>
                    </w:rPr>
                  </w:pPr>
                  <w:r>
                    <w:rPr>
                      <w:rFonts w:hint="eastAsia"/>
                      <w:szCs w:val="21"/>
                    </w:rPr>
                    <w:t>外语听力测试</w:t>
                  </w:r>
                </w:p>
              </w:tc>
              <w:tc>
                <w:tcPr>
                  <w:tcW w:w="429" w:type="dxa"/>
                </w:tcPr>
                <w:p>
                  <w:pPr>
                    <w:rPr>
                      <w:szCs w:val="21"/>
                    </w:rPr>
                  </w:pPr>
                  <w:r>
                    <w:rPr>
                      <w:rFonts w:hint="eastAsia"/>
                      <w:szCs w:val="21"/>
                    </w:rPr>
                    <w:t>10分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8" w:type="dxa"/>
                  <w:vMerge w:val="continue"/>
                </w:tcPr>
                <w:p>
                  <w:pPr>
                    <w:rPr>
                      <w:szCs w:val="21"/>
                    </w:rPr>
                  </w:pPr>
                </w:p>
              </w:tc>
              <w:tc>
                <w:tcPr>
                  <w:tcW w:w="2353" w:type="dxa"/>
                </w:tcPr>
                <w:p>
                  <w:pPr>
                    <w:rPr>
                      <w:szCs w:val="21"/>
                    </w:rPr>
                  </w:pPr>
                  <w:r>
                    <w:rPr>
                      <w:rFonts w:hint="eastAsia"/>
                      <w:szCs w:val="21"/>
                    </w:rPr>
                    <w:t>外语口语测试</w:t>
                  </w:r>
                </w:p>
              </w:tc>
              <w:tc>
                <w:tcPr>
                  <w:tcW w:w="429" w:type="dxa"/>
                </w:tcPr>
                <w:p>
                  <w:pPr>
                    <w:rPr>
                      <w:szCs w:val="21"/>
                    </w:rPr>
                  </w:pPr>
                  <w:r>
                    <w:rPr>
                      <w:rFonts w:hint="eastAsia"/>
                      <w:szCs w:val="21"/>
                    </w:rPr>
                    <w:t>10分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8" w:type="dxa"/>
                  <w:vMerge w:val="restart"/>
                </w:tcPr>
                <w:p>
                  <w:pPr>
                    <w:rPr>
                      <w:szCs w:val="21"/>
                    </w:rPr>
                  </w:pPr>
                  <w:r>
                    <w:rPr>
                      <w:rFonts w:hint="eastAsia"/>
                      <w:szCs w:val="21"/>
                    </w:rPr>
                    <w:t>综合素质与能力</w:t>
                  </w:r>
                </w:p>
              </w:tc>
              <w:tc>
                <w:tcPr>
                  <w:tcW w:w="2353" w:type="dxa"/>
                </w:tcPr>
                <w:p>
                  <w:pPr>
                    <w:rPr>
                      <w:szCs w:val="21"/>
                    </w:rPr>
                  </w:pPr>
                  <w:r>
                    <w:rPr>
                      <w:rFonts w:hint="eastAsia" w:ascii="Calibri" w:hAnsi="Calibri" w:eastAsia="宋体" w:cs="Times New Roman"/>
                      <w:szCs w:val="21"/>
                    </w:rPr>
                    <w:t>举止礼仪、思想政治素质、道德品质和心理健康考核</w:t>
                  </w:r>
                </w:p>
              </w:tc>
              <w:tc>
                <w:tcPr>
                  <w:tcW w:w="429" w:type="dxa"/>
                </w:tcPr>
                <w:p>
                  <w:pPr>
                    <w:rPr>
                      <w:szCs w:val="21"/>
                    </w:rPr>
                  </w:pPr>
                  <w:r>
                    <w:rPr>
                      <w:rFonts w:hint="eastAsia"/>
                      <w:szCs w:val="21"/>
                    </w:rPr>
                    <w:t>15分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8" w:type="dxa"/>
                  <w:vMerge w:val="continue"/>
                </w:tcPr>
                <w:p>
                  <w:pPr>
                    <w:rPr>
                      <w:szCs w:val="21"/>
                    </w:rPr>
                  </w:pPr>
                </w:p>
              </w:tc>
              <w:tc>
                <w:tcPr>
                  <w:tcW w:w="2353" w:type="dxa"/>
                </w:tcPr>
                <w:p>
                  <w:pPr>
                    <w:rPr>
                      <w:szCs w:val="21"/>
                    </w:rPr>
                  </w:pPr>
                  <w:r>
                    <w:rPr>
                      <w:rFonts w:hint="eastAsia" w:ascii="Calibri" w:hAnsi="Calibri" w:eastAsia="宋体" w:cs="Times New Roman"/>
                      <w:szCs w:val="21"/>
                    </w:rPr>
                    <w:t>科学精神、团队精神、创新意识、沟通表达、理解力</w:t>
                  </w:r>
                </w:p>
              </w:tc>
              <w:tc>
                <w:tcPr>
                  <w:tcW w:w="429" w:type="dxa"/>
                </w:tcPr>
                <w:p>
                  <w:pPr>
                    <w:rPr>
                      <w:szCs w:val="21"/>
                    </w:rPr>
                  </w:pPr>
                  <w:r>
                    <w:rPr>
                      <w:rFonts w:hint="eastAsia"/>
                      <w:szCs w:val="21"/>
                    </w:rPr>
                    <w:t>20分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8" w:type="dxa"/>
                  <w:vMerge w:val="continue"/>
                </w:tcPr>
                <w:p>
                  <w:pPr>
                    <w:rPr>
                      <w:szCs w:val="21"/>
                    </w:rPr>
                  </w:pPr>
                </w:p>
              </w:tc>
              <w:tc>
                <w:tcPr>
                  <w:tcW w:w="2353" w:type="dxa"/>
                </w:tcPr>
                <w:p>
                  <w:pPr>
                    <w:rPr>
                      <w:szCs w:val="21"/>
                    </w:rPr>
                  </w:pPr>
                  <w:r>
                    <w:rPr>
                      <w:rFonts w:hint="eastAsia" w:ascii="Calibri" w:hAnsi="Calibri" w:eastAsia="宋体" w:cs="Times New Roman"/>
                      <w:szCs w:val="21"/>
                    </w:rPr>
                    <w:t>学习、科研、竞赛及社会实践情况</w:t>
                  </w:r>
                </w:p>
              </w:tc>
              <w:tc>
                <w:tcPr>
                  <w:tcW w:w="429" w:type="dxa"/>
                </w:tcPr>
                <w:p>
                  <w:pPr>
                    <w:rPr>
                      <w:szCs w:val="21"/>
                    </w:rPr>
                  </w:pPr>
                  <w:r>
                    <w:rPr>
                      <w:rFonts w:hint="eastAsia"/>
                      <w:szCs w:val="21"/>
                    </w:rPr>
                    <w:t>20分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8" w:type="dxa"/>
                  <w:vMerge w:val="continue"/>
                </w:tcPr>
                <w:p>
                  <w:pPr>
                    <w:rPr>
                      <w:szCs w:val="21"/>
                    </w:rPr>
                  </w:pPr>
                </w:p>
              </w:tc>
              <w:tc>
                <w:tcPr>
                  <w:tcW w:w="2353" w:type="dxa"/>
                </w:tcPr>
                <w:p>
                  <w:pPr>
                    <w:rPr>
                      <w:szCs w:val="21"/>
                    </w:rPr>
                  </w:pPr>
                  <w:r>
                    <w:rPr>
                      <w:rFonts w:hint="eastAsia" w:ascii="Calibri" w:hAnsi="Calibri" w:eastAsia="宋体" w:cs="Times New Roman"/>
                      <w:szCs w:val="21"/>
                    </w:rPr>
                    <w:t>自信心、责任感、自制力、领导力、应变力</w:t>
                  </w:r>
                </w:p>
              </w:tc>
              <w:tc>
                <w:tcPr>
                  <w:tcW w:w="429" w:type="dxa"/>
                </w:tcPr>
                <w:p>
                  <w:pPr>
                    <w:rPr>
                      <w:szCs w:val="21"/>
                    </w:rPr>
                  </w:pPr>
                  <w:r>
                    <w:rPr>
                      <w:rFonts w:hint="eastAsia"/>
                      <w:szCs w:val="21"/>
                    </w:rPr>
                    <w:t>10分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28" w:type="dxa"/>
                  <w:vMerge w:val="continue"/>
                </w:tcPr>
                <w:p>
                  <w:pPr>
                    <w:rPr>
                      <w:szCs w:val="21"/>
                    </w:rPr>
                  </w:pPr>
                </w:p>
              </w:tc>
              <w:tc>
                <w:tcPr>
                  <w:tcW w:w="2353" w:type="dxa"/>
                </w:tcPr>
                <w:p>
                  <w:pPr>
                    <w:rPr>
                      <w:szCs w:val="21"/>
                    </w:rPr>
                  </w:pPr>
                  <w:r>
                    <w:rPr>
                      <w:rFonts w:hint="eastAsia" w:ascii="Calibri" w:hAnsi="Calibri" w:eastAsia="宋体" w:cs="Times New Roman"/>
                      <w:szCs w:val="21"/>
                    </w:rPr>
                    <w:t>知识结构、专业匹配度、对未来三年的规划及新专业环境的适应性</w:t>
                  </w:r>
                </w:p>
              </w:tc>
              <w:tc>
                <w:tcPr>
                  <w:tcW w:w="429" w:type="dxa"/>
                </w:tcPr>
                <w:p>
                  <w:pPr>
                    <w:rPr>
                      <w:szCs w:val="21"/>
                    </w:rPr>
                  </w:pPr>
                  <w:r>
                    <w:rPr>
                      <w:rFonts w:hint="eastAsia"/>
                      <w:szCs w:val="21"/>
                    </w:rPr>
                    <w:t>15分</w:t>
                  </w:r>
                </w:p>
              </w:tc>
            </w:tr>
          </w:tbl>
          <w:p>
            <w:pPr>
              <w:pStyle w:val="12"/>
              <w:spacing w:line="360" w:lineRule="auto"/>
              <w:ind w:firstLine="0" w:firstLineChars="0"/>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pStyle w:val="12"/>
              <w:spacing w:line="360" w:lineRule="auto"/>
              <w:ind w:firstLine="0" w:firstLineChars="0"/>
              <w:rPr>
                <w:b/>
                <w:sz w:val="24"/>
                <w:szCs w:val="24"/>
              </w:rPr>
            </w:pPr>
            <w:r>
              <w:rPr>
                <w:rFonts w:hint="eastAsia"/>
                <w:b/>
                <w:sz w:val="24"/>
                <w:szCs w:val="24"/>
              </w:rPr>
              <w:t>参加</w:t>
            </w:r>
          </w:p>
          <w:p>
            <w:pPr>
              <w:pStyle w:val="12"/>
              <w:spacing w:line="360" w:lineRule="auto"/>
              <w:ind w:firstLine="0" w:firstLineChars="0"/>
              <w:rPr>
                <w:b/>
                <w:sz w:val="24"/>
                <w:szCs w:val="24"/>
              </w:rPr>
            </w:pPr>
            <w:r>
              <w:rPr>
                <w:rFonts w:hint="eastAsia"/>
                <w:b/>
                <w:sz w:val="24"/>
                <w:szCs w:val="24"/>
              </w:rPr>
              <w:t>调剂</w:t>
            </w:r>
          </w:p>
          <w:p>
            <w:pPr>
              <w:pStyle w:val="12"/>
              <w:spacing w:line="360" w:lineRule="auto"/>
              <w:ind w:firstLine="0" w:firstLineChars="0"/>
              <w:rPr>
                <w:b/>
                <w:sz w:val="24"/>
                <w:szCs w:val="24"/>
              </w:rPr>
            </w:pPr>
            <w:r>
              <w:rPr>
                <w:rFonts w:hint="eastAsia"/>
                <w:b/>
                <w:sz w:val="24"/>
                <w:szCs w:val="24"/>
              </w:rPr>
              <w:t>考生</w:t>
            </w:r>
          </w:p>
          <w:p>
            <w:pPr>
              <w:pStyle w:val="12"/>
              <w:spacing w:line="360" w:lineRule="auto"/>
              <w:ind w:firstLine="0" w:firstLineChars="0"/>
              <w:rPr>
                <w:b/>
                <w:sz w:val="24"/>
                <w:szCs w:val="24"/>
              </w:rPr>
            </w:pPr>
            <w:r>
              <w:rPr>
                <w:rFonts w:hint="eastAsia"/>
                <w:b/>
                <w:sz w:val="24"/>
                <w:szCs w:val="24"/>
              </w:rPr>
              <w:t>须携</w:t>
            </w:r>
          </w:p>
          <w:p>
            <w:pPr>
              <w:pStyle w:val="12"/>
              <w:spacing w:line="360" w:lineRule="auto"/>
              <w:ind w:firstLine="0" w:firstLineChars="0"/>
              <w:rPr>
                <w:b/>
                <w:sz w:val="24"/>
                <w:szCs w:val="24"/>
              </w:rPr>
            </w:pPr>
            <w:r>
              <w:rPr>
                <w:rFonts w:hint="eastAsia"/>
                <w:b/>
                <w:sz w:val="24"/>
                <w:szCs w:val="24"/>
              </w:rPr>
              <w:t>带的</w:t>
            </w:r>
          </w:p>
          <w:p>
            <w:pPr>
              <w:pStyle w:val="12"/>
              <w:spacing w:line="360" w:lineRule="auto"/>
              <w:ind w:firstLine="0" w:firstLineChars="0"/>
              <w:rPr>
                <w:b/>
                <w:sz w:val="24"/>
                <w:szCs w:val="24"/>
              </w:rPr>
            </w:pPr>
            <w:r>
              <w:rPr>
                <w:rFonts w:hint="eastAsia"/>
                <w:b/>
                <w:sz w:val="24"/>
                <w:szCs w:val="24"/>
              </w:rPr>
              <w:t>材料</w:t>
            </w:r>
          </w:p>
        </w:tc>
        <w:tc>
          <w:tcPr>
            <w:tcW w:w="7563" w:type="dxa"/>
            <w:gridSpan w:val="2"/>
          </w:tcPr>
          <w:p>
            <w:pPr>
              <w:pStyle w:val="12"/>
              <w:numPr>
                <w:ilvl w:val="0"/>
                <w:numId w:val="8"/>
              </w:numPr>
              <w:ind w:left="-108" w:firstLine="0" w:firstLineChars="0"/>
              <w:rPr>
                <w:szCs w:val="21"/>
              </w:rPr>
            </w:pPr>
            <w:r>
              <w:rPr>
                <w:rFonts w:hint="eastAsia"/>
                <w:szCs w:val="21"/>
              </w:rPr>
              <w:t>准考证</w:t>
            </w:r>
          </w:p>
          <w:p>
            <w:pPr>
              <w:pStyle w:val="12"/>
              <w:numPr>
                <w:ilvl w:val="0"/>
                <w:numId w:val="8"/>
              </w:numPr>
              <w:ind w:left="-108" w:firstLine="0" w:firstLineChars="0"/>
              <w:rPr>
                <w:szCs w:val="21"/>
              </w:rPr>
            </w:pPr>
            <w:r>
              <w:rPr>
                <w:rFonts w:hint="eastAsia"/>
                <w:szCs w:val="21"/>
              </w:rPr>
              <w:t>有效身份证</w:t>
            </w:r>
          </w:p>
          <w:p>
            <w:pPr>
              <w:pStyle w:val="12"/>
              <w:numPr>
                <w:ilvl w:val="0"/>
                <w:numId w:val="8"/>
              </w:numPr>
              <w:ind w:left="-108" w:firstLine="0" w:firstLineChars="0"/>
              <w:rPr>
                <w:szCs w:val="21"/>
              </w:rPr>
            </w:pPr>
            <w:r>
              <w:rPr>
                <w:rFonts w:hint="eastAsia"/>
                <w:szCs w:val="21"/>
              </w:rPr>
              <w:t>资格审查合格通知单</w:t>
            </w:r>
          </w:p>
          <w:p>
            <w:pPr>
              <w:pStyle w:val="12"/>
              <w:numPr>
                <w:ilvl w:val="0"/>
                <w:numId w:val="8"/>
              </w:numPr>
              <w:ind w:left="-108" w:firstLine="0" w:firstLineChars="0"/>
              <w:rPr>
                <w:szCs w:val="21"/>
              </w:rPr>
            </w:pPr>
            <w:r>
              <w:rPr>
                <w:rFonts w:hint="eastAsia"/>
                <w:szCs w:val="21"/>
              </w:rPr>
              <w:t>体检缴费单（红联）</w:t>
            </w:r>
          </w:p>
          <w:p>
            <w:pPr>
              <w:pStyle w:val="12"/>
              <w:numPr>
                <w:ilvl w:val="0"/>
                <w:numId w:val="8"/>
              </w:numPr>
              <w:ind w:left="-108" w:firstLine="0" w:firstLineChars="0"/>
              <w:rPr>
                <w:szCs w:val="21"/>
              </w:rPr>
            </w:pPr>
            <w:r>
              <w:rPr>
                <w:rFonts w:hint="eastAsia"/>
                <w:szCs w:val="21"/>
              </w:rPr>
              <w:t>考生自述材料（包括政治表现、外语水平、业务和科研能力、研究计划等）</w:t>
            </w:r>
          </w:p>
          <w:p>
            <w:pPr>
              <w:pStyle w:val="12"/>
              <w:numPr>
                <w:ilvl w:val="0"/>
                <w:numId w:val="8"/>
              </w:numPr>
              <w:ind w:left="-108" w:firstLine="0" w:firstLineChars="0"/>
              <w:rPr>
                <w:szCs w:val="21"/>
              </w:rPr>
            </w:pPr>
            <w:r>
              <w:rPr>
                <w:rFonts w:hint="eastAsia"/>
                <w:szCs w:val="21"/>
              </w:rPr>
              <w:t>本科期间成绩单（应届生盖坐在学校教务部门公章、往届生盖档案所在单位人事部门公章）</w:t>
            </w:r>
          </w:p>
          <w:p>
            <w:pPr>
              <w:pStyle w:val="12"/>
              <w:numPr>
                <w:ilvl w:val="0"/>
                <w:numId w:val="8"/>
              </w:numPr>
              <w:ind w:left="-108" w:firstLine="0" w:firstLineChars="0"/>
              <w:rPr>
                <w:szCs w:val="21"/>
              </w:rPr>
            </w:pPr>
            <w:r>
              <w:rPr>
                <w:rFonts w:hint="eastAsia"/>
                <w:szCs w:val="21"/>
              </w:rPr>
              <w:t>《报考天津大学2016年硕士生校内调剂申请表》</w:t>
            </w:r>
          </w:p>
          <w:p>
            <w:pPr>
              <w:rPr>
                <w:sz w:val="24"/>
                <w:szCs w:val="24"/>
              </w:rPr>
            </w:pPr>
            <w:r>
              <w:rPr>
                <w:rFonts w:hint="eastAsia"/>
                <w:b/>
                <w:szCs w:val="21"/>
              </w:rPr>
              <w:t>注意：以上材料交各面试组秘书审验，其中（3）、（4）、（5）、（7）交给秘书留底备查，其余材料可带走。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pStyle w:val="12"/>
              <w:spacing w:line="360" w:lineRule="auto"/>
              <w:ind w:firstLine="0" w:firstLineChars="0"/>
              <w:rPr>
                <w:b/>
                <w:sz w:val="24"/>
                <w:szCs w:val="24"/>
              </w:rPr>
            </w:pPr>
            <w:r>
              <w:rPr>
                <w:rFonts w:hint="eastAsia"/>
                <w:b/>
                <w:sz w:val="24"/>
                <w:szCs w:val="24"/>
              </w:rPr>
              <w:t>成绩</w:t>
            </w:r>
          </w:p>
          <w:p>
            <w:pPr>
              <w:pStyle w:val="12"/>
              <w:spacing w:line="360" w:lineRule="auto"/>
              <w:ind w:firstLine="0" w:firstLineChars="0"/>
              <w:rPr>
                <w:b/>
                <w:sz w:val="24"/>
                <w:szCs w:val="24"/>
              </w:rPr>
            </w:pPr>
            <w:r>
              <w:rPr>
                <w:rFonts w:hint="eastAsia"/>
                <w:b/>
                <w:sz w:val="24"/>
                <w:szCs w:val="24"/>
              </w:rPr>
              <w:t>合格</w:t>
            </w:r>
          </w:p>
          <w:p>
            <w:pPr>
              <w:pStyle w:val="12"/>
              <w:spacing w:line="360" w:lineRule="auto"/>
              <w:ind w:firstLine="0" w:firstLineChars="0"/>
              <w:rPr>
                <w:b/>
                <w:sz w:val="24"/>
                <w:szCs w:val="24"/>
              </w:rPr>
            </w:pPr>
            <w:r>
              <w:rPr>
                <w:rFonts w:hint="eastAsia"/>
                <w:b/>
                <w:sz w:val="24"/>
                <w:szCs w:val="24"/>
              </w:rPr>
              <w:t>标准</w:t>
            </w:r>
          </w:p>
        </w:tc>
        <w:tc>
          <w:tcPr>
            <w:tcW w:w="3827" w:type="dxa"/>
          </w:tcPr>
          <w:p>
            <w:pPr>
              <w:pStyle w:val="12"/>
              <w:ind w:firstLine="0" w:firstLineChars="0"/>
              <w:rPr>
                <w:szCs w:val="21"/>
              </w:rPr>
            </w:pPr>
            <w:r>
              <w:rPr>
                <w:szCs w:val="21"/>
              </w:rPr>
              <w:t>考生总成绩=（初试总成绩÷2.5）×60% +复试</w:t>
            </w:r>
            <w:r>
              <w:rPr>
                <w:rFonts w:hint="eastAsia"/>
                <w:szCs w:val="21"/>
              </w:rPr>
              <w:t>总</w:t>
            </w:r>
            <w:r>
              <w:rPr>
                <w:szCs w:val="21"/>
              </w:rPr>
              <w:t>成绩×40%</w:t>
            </w:r>
          </w:p>
          <w:p>
            <w:pPr>
              <w:pStyle w:val="12"/>
              <w:ind w:firstLine="0" w:firstLineChars="0"/>
              <w:rPr>
                <w:b/>
                <w:szCs w:val="21"/>
              </w:rPr>
            </w:pPr>
            <w:r>
              <w:rPr>
                <w:rFonts w:hint="eastAsia"/>
                <w:b/>
                <w:szCs w:val="21"/>
              </w:rPr>
              <w:t>复试总分为200分，低于120分者不予录取</w:t>
            </w:r>
          </w:p>
        </w:tc>
        <w:tc>
          <w:tcPr>
            <w:tcW w:w="3736" w:type="dxa"/>
          </w:tcPr>
          <w:p>
            <w:pPr>
              <w:pStyle w:val="12"/>
              <w:ind w:firstLine="0" w:firstLineChars="0"/>
              <w:rPr>
                <w:b/>
                <w:szCs w:val="21"/>
              </w:rPr>
            </w:pPr>
          </w:p>
          <w:p>
            <w:pPr>
              <w:pStyle w:val="12"/>
              <w:ind w:firstLine="0" w:firstLineChars="0"/>
              <w:rPr>
                <w:b/>
                <w:szCs w:val="21"/>
              </w:rPr>
            </w:pPr>
            <w:r>
              <w:rPr>
                <w:rFonts w:hint="eastAsia"/>
                <w:b/>
                <w:szCs w:val="21"/>
              </w:rPr>
              <w:t>工程师学衔复试总分为100分，低于80分者不予录取</w:t>
            </w:r>
          </w:p>
        </w:tc>
      </w:tr>
    </w:tbl>
    <w:p>
      <w:pPr>
        <w:pStyle w:val="12"/>
        <w:numPr>
          <w:ilvl w:val="0"/>
          <w:numId w:val="1"/>
        </w:numPr>
        <w:spacing w:line="360" w:lineRule="auto"/>
        <w:ind w:firstLineChars="0"/>
        <w:rPr>
          <w:b/>
          <w:sz w:val="24"/>
          <w:szCs w:val="24"/>
        </w:rPr>
      </w:pPr>
      <w:r>
        <w:rPr>
          <w:rFonts w:hint="eastAsia"/>
          <w:b/>
          <w:sz w:val="24"/>
          <w:szCs w:val="24"/>
        </w:rPr>
        <w:t>录取办法</w:t>
      </w:r>
    </w:p>
    <w:p>
      <w:pPr>
        <w:pStyle w:val="2"/>
        <w:numPr>
          <w:ilvl w:val="0"/>
          <w:numId w:val="9"/>
        </w:numPr>
        <w:tabs>
          <w:tab w:val="left" w:pos="1080"/>
        </w:tabs>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调剂考生只有满足天津大学招生复试总成绩120分以上，且法国工程师学衔复试成绩80分以上，才有资格被考虑录取。</w:t>
      </w:r>
    </w:p>
    <w:p>
      <w:pPr>
        <w:pStyle w:val="2"/>
        <w:numPr>
          <w:ilvl w:val="0"/>
          <w:numId w:val="9"/>
        </w:numPr>
        <w:tabs>
          <w:tab w:val="left" w:pos="1080"/>
        </w:tabs>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录取时按照考生总成绩从高到低进行名次排序，若总成绩相同，按照复试成绩从高到低排序。</w:t>
      </w:r>
    </w:p>
    <w:p>
      <w:pPr>
        <w:pStyle w:val="2"/>
        <w:numPr>
          <w:ilvl w:val="0"/>
          <w:numId w:val="9"/>
        </w:numPr>
        <w:tabs>
          <w:tab w:val="left" w:pos="1080"/>
        </w:tabs>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凡未进行资格审查或资格审查未通过的考生一律不予录取；没有参加复试或者复试成绩不合格（即复试成绩低于120分或法国工程师学衔复试成绩低于80分）的考生将不予录取。</w:t>
      </w:r>
    </w:p>
    <w:p>
      <w:pPr>
        <w:rPr>
          <w:sz w:val="24"/>
          <w:szCs w:val="24"/>
        </w:rPr>
      </w:pPr>
    </w:p>
    <w:p>
      <w:pPr>
        <w:pStyle w:val="12"/>
        <w:numPr>
          <w:ilvl w:val="0"/>
          <w:numId w:val="1"/>
        </w:numPr>
        <w:spacing w:line="360" w:lineRule="auto"/>
        <w:ind w:left="0" w:firstLine="0" w:firstLineChars="0"/>
        <w:rPr>
          <w:b/>
          <w:sz w:val="24"/>
          <w:szCs w:val="24"/>
        </w:rPr>
      </w:pPr>
      <w:r>
        <w:rPr>
          <w:rFonts w:hint="eastAsia"/>
          <w:b/>
          <w:sz w:val="24"/>
          <w:szCs w:val="24"/>
        </w:rPr>
        <w:t>其他事宜</w:t>
      </w:r>
    </w:p>
    <w:p>
      <w:pPr>
        <w:pStyle w:val="12"/>
        <w:numPr>
          <w:ilvl w:val="0"/>
          <w:numId w:val="10"/>
        </w:numPr>
        <w:spacing w:line="360" w:lineRule="auto"/>
        <w:ind w:firstLineChars="0"/>
        <w:rPr>
          <w:sz w:val="24"/>
          <w:szCs w:val="24"/>
        </w:rPr>
      </w:pPr>
      <w:r>
        <w:rPr>
          <w:rFonts w:hint="eastAsia"/>
          <w:sz w:val="24"/>
          <w:szCs w:val="24"/>
        </w:rPr>
        <w:t>有关复试录取的要求及通知，请考生关注天津大学国际工程师学院网站。</w:t>
      </w:r>
    </w:p>
    <w:p>
      <w:pPr>
        <w:pStyle w:val="12"/>
        <w:numPr>
          <w:ilvl w:val="0"/>
          <w:numId w:val="10"/>
        </w:numPr>
        <w:spacing w:line="360" w:lineRule="auto"/>
        <w:ind w:firstLineChars="0"/>
        <w:rPr>
          <w:b/>
          <w:sz w:val="24"/>
          <w:szCs w:val="24"/>
        </w:rPr>
      </w:pPr>
      <w:r>
        <w:rPr>
          <w:rFonts w:hint="eastAsia"/>
          <w:sz w:val="24"/>
          <w:szCs w:val="24"/>
        </w:rPr>
        <w:t>在调剂、录取工作中如有问题或反映相关事宜，可拨打电话：022-87370871，</w:t>
      </w:r>
      <w:r>
        <w:fldChar w:fldCharType="begin"/>
      </w:r>
      <w:r>
        <w:instrText xml:space="preserve"> HYPERLINK "mailto:或发送邮件至tiei2014@163.com" </w:instrText>
      </w:r>
      <w:r>
        <w:fldChar w:fldCharType="separate"/>
      </w:r>
      <w:r>
        <w:rPr>
          <w:rFonts w:hint="eastAsia"/>
          <w:sz w:val="24"/>
          <w:szCs w:val="24"/>
        </w:rPr>
        <w:t>或发送邮件至tiei2014@163.com</w:t>
      </w:r>
      <w:r>
        <w:rPr>
          <w:rFonts w:hint="eastAsia"/>
          <w:sz w:val="24"/>
          <w:szCs w:val="24"/>
        </w:rPr>
        <w:fldChar w:fldCharType="end"/>
      </w:r>
      <w:r>
        <w:rPr>
          <w:rFonts w:hint="eastAsia"/>
          <w:sz w:val="24"/>
          <w:szCs w:val="24"/>
        </w:rPr>
        <w:t>，联系人：王老师、陈老师</w:t>
      </w:r>
    </w:p>
    <w:p>
      <w:pPr>
        <w:pStyle w:val="12"/>
        <w:numPr>
          <w:ilvl w:val="0"/>
          <w:numId w:val="10"/>
        </w:numPr>
        <w:spacing w:line="360" w:lineRule="auto"/>
        <w:ind w:firstLineChars="0"/>
        <w:rPr>
          <w:sz w:val="24"/>
          <w:szCs w:val="24"/>
        </w:rPr>
      </w:pPr>
      <w:r>
        <w:rPr>
          <w:rFonts w:hint="eastAsia"/>
          <w:sz w:val="24"/>
          <w:szCs w:val="24"/>
        </w:rPr>
        <w:t>交表截止时间为</w:t>
      </w:r>
      <w:r>
        <w:rPr>
          <w:rFonts w:hint="eastAsia"/>
          <w:b/>
          <w:color w:val="FF0000"/>
          <w:sz w:val="24"/>
          <w:szCs w:val="24"/>
        </w:rPr>
        <w:t>2016年3月2</w:t>
      </w:r>
      <w:r>
        <w:rPr>
          <w:rFonts w:hint="eastAsia"/>
          <w:b/>
          <w:color w:val="FF0000"/>
          <w:sz w:val="24"/>
          <w:szCs w:val="24"/>
          <w:lang w:val="en-US" w:eastAsia="zh-CN"/>
        </w:rPr>
        <w:t>6</w:t>
      </w:r>
      <w:r>
        <w:rPr>
          <w:rFonts w:hint="eastAsia"/>
          <w:b/>
          <w:color w:val="FF0000"/>
          <w:sz w:val="24"/>
          <w:szCs w:val="24"/>
        </w:rPr>
        <w:t>日（周</w:t>
      </w:r>
      <w:r>
        <w:rPr>
          <w:rFonts w:hint="eastAsia"/>
          <w:b/>
          <w:color w:val="FF0000"/>
          <w:sz w:val="24"/>
          <w:szCs w:val="24"/>
          <w:lang w:eastAsia="zh-CN"/>
        </w:rPr>
        <w:t>日</w:t>
      </w:r>
      <w:bookmarkStart w:id="0" w:name="_GoBack"/>
      <w:bookmarkEnd w:id="0"/>
      <w:r>
        <w:rPr>
          <w:rFonts w:hint="eastAsia"/>
          <w:b/>
          <w:color w:val="FF0000"/>
          <w:sz w:val="24"/>
          <w:szCs w:val="24"/>
        </w:rPr>
        <w:t>）下午16:30前</w:t>
      </w:r>
      <w:r>
        <w:rPr>
          <w:rFonts w:hint="eastAsia"/>
          <w:sz w:val="24"/>
          <w:szCs w:val="24"/>
        </w:rPr>
        <w:t>，过时不交表视为放弃面试资格。</w:t>
      </w:r>
    </w:p>
    <w:p>
      <w:pPr>
        <w:pStyle w:val="12"/>
        <w:numPr>
          <w:ilvl w:val="0"/>
          <w:numId w:val="10"/>
        </w:numPr>
        <w:spacing w:line="360" w:lineRule="auto"/>
        <w:ind w:firstLineChars="0"/>
        <w:rPr>
          <w:sz w:val="24"/>
          <w:szCs w:val="24"/>
        </w:rPr>
      </w:pPr>
      <w:r>
        <w:rPr>
          <w:rFonts w:hint="eastAsia"/>
          <w:sz w:val="24"/>
          <w:szCs w:val="24"/>
        </w:rPr>
        <w:t>对未被我院录取但符合教育部复试分数线的考生，在全国统一录取工作开始后，会同研究生院积极帮助考生办理向外校调剂手续。</w:t>
      </w:r>
    </w:p>
    <w:p>
      <w:pPr>
        <w:pStyle w:val="12"/>
        <w:numPr>
          <w:ilvl w:val="0"/>
          <w:numId w:val="10"/>
        </w:numPr>
        <w:spacing w:line="360" w:lineRule="auto"/>
        <w:ind w:firstLineChars="0"/>
        <w:rPr>
          <w:b/>
          <w:sz w:val="24"/>
          <w:szCs w:val="24"/>
        </w:rPr>
      </w:pPr>
      <w:r>
        <w:rPr>
          <w:rFonts w:hint="eastAsia"/>
          <w:b/>
          <w:sz w:val="24"/>
          <w:szCs w:val="24"/>
        </w:rPr>
        <w:t>校外调剂另行通知，请随时关注学院网站。</w:t>
      </w:r>
    </w:p>
    <w:p>
      <w:pPr>
        <w:rPr>
          <w:sz w:val="24"/>
          <w:szCs w:val="24"/>
        </w:rPr>
      </w:pPr>
    </w:p>
    <w:p>
      <w:pPr>
        <w:ind w:firstLine="480" w:firstLineChars="200"/>
        <w:rPr>
          <w:sz w:val="24"/>
          <w:szCs w:val="24"/>
        </w:rPr>
      </w:pPr>
      <w:r>
        <w:rPr>
          <w:rFonts w:hint="eastAsia" w:ascii="华文仿宋" w:hAnsi="华文仿宋" w:eastAsia="华文仿宋"/>
          <w:b/>
          <w:bCs/>
          <w:sz w:val="24"/>
          <w:szCs w:val="24"/>
        </w:rPr>
        <w:t>重要提示：请全体考生务必保证所留通讯方式畅通，</w:t>
      </w:r>
      <w:r>
        <w:rPr>
          <w:rFonts w:ascii="华文仿宋" w:hAnsi="华文仿宋" w:eastAsia="华文仿宋"/>
          <w:b/>
          <w:bCs/>
          <w:sz w:val="24"/>
          <w:szCs w:val="24"/>
        </w:rPr>
        <w:t xml:space="preserve"> </w:t>
      </w:r>
      <w:r>
        <w:rPr>
          <w:rFonts w:hint="eastAsia" w:ascii="华文仿宋" w:hAnsi="华文仿宋" w:eastAsia="华文仿宋"/>
          <w:b/>
          <w:bCs/>
          <w:sz w:val="24"/>
          <w:szCs w:val="24"/>
        </w:rPr>
        <w:t>以便将相关信息及时通知到本人，</w:t>
      </w:r>
      <w:r>
        <w:rPr>
          <w:rFonts w:ascii="华文仿宋" w:hAnsi="华文仿宋" w:eastAsia="华文仿宋"/>
          <w:b/>
          <w:bCs/>
          <w:sz w:val="24"/>
          <w:szCs w:val="24"/>
        </w:rPr>
        <w:t xml:space="preserve"> </w:t>
      </w:r>
      <w:r>
        <w:rPr>
          <w:rFonts w:hint="eastAsia" w:ascii="华文仿宋" w:hAnsi="华文仿宋" w:eastAsia="华文仿宋"/>
          <w:b/>
          <w:bCs/>
          <w:sz w:val="24"/>
          <w:szCs w:val="24"/>
        </w:rPr>
        <w:t>避免出现遗漏信息影响复试</w:t>
      </w:r>
      <w:r>
        <w:rPr>
          <w:rFonts w:ascii="华文仿宋" w:hAnsi="华文仿宋" w:eastAsia="华文仿宋"/>
          <w:b/>
          <w:bCs/>
          <w:sz w:val="24"/>
          <w:szCs w:val="24"/>
        </w:rPr>
        <w:t xml:space="preserve"> </w:t>
      </w:r>
      <w:r>
        <w:rPr>
          <w:rFonts w:hint="eastAsia" w:ascii="华文仿宋" w:hAnsi="华文仿宋" w:eastAsia="华文仿宋"/>
          <w:b/>
          <w:bCs/>
          <w:sz w:val="24"/>
          <w:szCs w:val="24"/>
        </w:rPr>
        <w:t>。</w:t>
      </w:r>
    </w:p>
    <w:p>
      <w:pPr>
        <w:rPr>
          <w:sz w:val="24"/>
          <w:szCs w:val="24"/>
        </w:rPr>
      </w:pPr>
    </w:p>
    <w:p>
      <w:pPr>
        <w:rPr>
          <w:sz w:val="24"/>
          <w:szCs w:val="24"/>
        </w:rPr>
      </w:pPr>
    </w:p>
    <w:p>
      <w:pPr>
        <w:rPr>
          <w:sz w:val="24"/>
          <w:szCs w:val="24"/>
        </w:rPr>
      </w:pPr>
    </w:p>
    <w:p>
      <w:pPr>
        <w:spacing w:line="360" w:lineRule="auto"/>
        <w:jc w:val="right"/>
        <w:rPr>
          <w:sz w:val="24"/>
          <w:szCs w:val="24"/>
        </w:rPr>
      </w:pPr>
    </w:p>
    <w:p>
      <w:pPr>
        <w:spacing w:line="360" w:lineRule="auto"/>
        <w:jc w:val="right"/>
        <w:rPr>
          <w:sz w:val="24"/>
          <w:szCs w:val="24"/>
        </w:rPr>
      </w:pPr>
      <w:r>
        <w:rPr>
          <w:rFonts w:hint="eastAsia"/>
          <w:sz w:val="24"/>
          <w:szCs w:val="24"/>
        </w:rPr>
        <w:t>国际工程师学院</w:t>
      </w:r>
    </w:p>
    <w:p>
      <w:pPr>
        <w:wordWrap w:val="0"/>
        <w:spacing w:line="360" w:lineRule="auto"/>
        <w:jc w:val="right"/>
        <w:rPr>
          <w:sz w:val="24"/>
          <w:szCs w:val="24"/>
        </w:rPr>
      </w:pPr>
      <w:r>
        <w:rPr>
          <w:sz w:val="24"/>
          <w:szCs w:val="24"/>
        </w:rPr>
        <w:t>2016/3/</w:t>
      </w:r>
      <w:r>
        <w:rPr>
          <w:rFonts w:hint="eastAsia"/>
          <w:sz w:val="24"/>
          <w:szCs w:val="24"/>
        </w:rPr>
        <w:t xml:space="preserve">15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35697551">
    <w:nsid w:val="3DBB7D8F"/>
    <w:multiLevelType w:val="multilevel"/>
    <w:tmpl w:val="3DBB7D8F"/>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59730204">
    <w:nsid w:val="4520141C"/>
    <w:multiLevelType w:val="multilevel"/>
    <w:tmpl w:val="4520141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07184318">
    <w:nsid w:val="1E3B04BE"/>
    <w:multiLevelType w:val="multilevel"/>
    <w:tmpl w:val="1E3B04BE"/>
    <w:lvl w:ilvl="0" w:tentative="1">
      <w:start w:val="1"/>
      <w:numFmt w:val="decimal"/>
      <w:lvlText w:val="(%1)"/>
      <w:lvlJc w:val="left"/>
      <w:pPr>
        <w:ind w:left="780" w:hanging="420"/>
      </w:pPr>
      <w:rPr>
        <w:rFonts w:hint="eastAsia"/>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922879208">
    <w:nsid w:val="370204E8"/>
    <w:multiLevelType w:val="multilevel"/>
    <w:tmpl w:val="370204E8"/>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321613101">
    <w:nsid w:val="4EC6372D"/>
    <w:multiLevelType w:val="multilevel"/>
    <w:tmpl w:val="4EC6372D"/>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81386571">
    <w:nsid w:val="1CB1604B"/>
    <w:multiLevelType w:val="multilevel"/>
    <w:tmpl w:val="1CB1604B"/>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820081987">
    <w:nsid w:val="30E17543"/>
    <w:multiLevelType w:val="multilevel"/>
    <w:tmpl w:val="30E17543"/>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83268649">
    <w:nsid w:val="3A9B7D29"/>
    <w:multiLevelType w:val="multilevel"/>
    <w:tmpl w:val="3A9B7D29"/>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01789883">
    <w:nsid w:val="29D476BB"/>
    <w:multiLevelType w:val="multilevel"/>
    <w:tmpl w:val="29D476BB"/>
    <w:lvl w:ilvl="0" w:tentative="1">
      <w:start w:val="1"/>
      <w:numFmt w:val="japaneseCounting"/>
      <w:lvlText w:val="%1、"/>
      <w:lvlJc w:val="left"/>
      <w:pPr>
        <w:ind w:left="480" w:hanging="4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99928358">
    <w:nsid w:val="59671726"/>
    <w:multiLevelType w:val="multilevel"/>
    <w:tmpl w:val="59671726"/>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701789883"/>
  </w:num>
  <w:num w:numId="2">
    <w:abstractNumId w:val="1499928358"/>
  </w:num>
  <w:num w:numId="3">
    <w:abstractNumId w:val="983268649"/>
  </w:num>
  <w:num w:numId="4">
    <w:abstractNumId w:val="820081987"/>
  </w:num>
  <w:num w:numId="5">
    <w:abstractNumId w:val="481386571"/>
  </w:num>
  <w:num w:numId="6">
    <w:abstractNumId w:val="1321613101"/>
  </w:num>
  <w:num w:numId="7">
    <w:abstractNumId w:val="922879208"/>
  </w:num>
  <w:num w:numId="8">
    <w:abstractNumId w:val="507184318"/>
  </w:num>
  <w:num w:numId="9">
    <w:abstractNumId w:val="1159730204"/>
  </w:num>
  <w:num w:numId="10">
    <w:abstractNumId w:val="10356975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0C78"/>
    <w:rsid w:val="000576B9"/>
    <w:rsid w:val="000E051D"/>
    <w:rsid w:val="000F39E5"/>
    <w:rsid w:val="00183295"/>
    <w:rsid w:val="00201088"/>
    <w:rsid w:val="00221982"/>
    <w:rsid w:val="002322FB"/>
    <w:rsid w:val="0028765D"/>
    <w:rsid w:val="003035AF"/>
    <w:rsid w:val="003873BC"/>
    <w:rsid w:val="003D3A72"/>
    <w:rsid w:val="003D6A92"/>
    <w:rsid w:val="003E65C8"/>
    <w:rsid w:val="00406130"/>
    <w:rsid w:val="00415150"/>
    <w:rsid w:val="004343E9"/>
    <w:rsid w:val="004C025A"/>
    <w:rsid w:val="0051043F"/>
    <w:rsid w:val="0059498E"/>
    <w:rsid w:val="00620809"/>
    <w:rsid w:val="006327EC"/>
    <w:rsid w:val="00643C1E"/>
    <w:rsid w:val="00650C78"/>
    <w:rsid w:val="006A0751"/>
    <w:rsid w:val="00711C52"/>
    <w:rsid w:val="0072246B"/>
    <w:rsid w:val="00764B31"/>
    <w:rsid w:val="007C7A77"/>
    <w:rsid w:val="00811D31"/>
    <w:rsid w:val="00813EE7"/>
    <w:rsid w:val="00814B73"/>
    <w:rsid w:val="0085673A"/>
    <w:rsid w:val="008626C6"/>
    <w:rsid w:val="008A0BA3"/>
    <w:rsid w:val="008A2FEF"/>
    <w:rsid w:val="008B1560"/>
    <w:rsid w:val="009056AD"/>
    <w:rsid w:val="00951B4F"/>
    <w:rsid w:val="009F5F9C"/>
    <w:rsid w:val="00A97C88"/>
    <w:rsid w:val="00AA1B93"/>
    <w:rsid w:val="00AB3258"/>
    <w:rsid w:val="00B00A61"/>
    <w:rsid w:val="00B25E58"/>
    <w:rsid w:val="00B325E3"/>
    <w:rsid w:val="00B56A40"/>
    <w:rsid w:val="00B578BA"/>
    <w:rsid w:val="00B60A61"/>
    <w:rsid w:val="00B709A6"/>
    <w:rsid w:val="00B9500A"/>
    <w:rsid w:val="00BA41C7"/>
    <w:rsid w:val="00C5536A"/>
    <w:rsid w:val="00C86247"/>
    <w:rsid w:val="00CE4A5A"/>
    <w:rsid w:val="00CF2DF8"/>
    <w:rsid w:val="00D14CBD"/>
    <w:rsid w:val="00DC3587"/>
    <w:rsid w:val="00DD3133"/>
    <w:rsid w:val="00E704E7"/>
    <w:rsid w:val="00EB44F1"/>
    <w:rsid w:val="00F54C79"/>
    <w:rsid w:val="00F6209F"/>
    <w:rsid w:val="00F814F9"/>
    <w:rsid w:val="00FA2B5A"/>
    <w:rsid w:val="00FF1984"/>
    <w:rsid w:val="3EA853F9"/>
    <w:rsid w:val="4A590517"/>
    <w:rsid w:val="5B5D357A"/>
    <w:rsid w:val="712C4FC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0"/>
    <w:pPr>
      <w:ind w:left="1260"/>
    </w:pPr>
    <w:rPr>
      <w:rFonts w:ascii="Times New Roman" w:hAnsi="Times New Roman" w:eastAsia="宋体" w:cs="Times New Roman"/>
      <w:sz w:val="28"/>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正文文本缩进 Char"/>
    <w:basedOn w:val="6"/>
    <w:link w:val="2"/>
    <w:qFormat/>
    <w:uiPriority w:val="0"/>
    <w:rPr>
      <w:rFonts w:ascii="Times New Roman" w:hAnsi="Times New Roman" w:eastAsia="宋体" w:cs="Times New Roman"/>
      <w:sz w:val="28"/>
      <w:szCs w:val="24"/>
    </w:rPr>
  </w:style>
  <w:style w:type="paragraph" w:customStyle="1"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15">
    <w:name w:val="网格型1"/>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545</Words>
  <Characters>3113</Characters>
  <Lines>25</Lines>
  <Paragraphs>7</Paragraphs>
  <ScaleCrop>false</ScaleCrop>
  <LinksUpToDate>false</LinksUpToDate>
  <CharactersWithSpaces>3651</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2016-03-15T06:27:00Z</dcterms:created>
  <dc:creator>USER</dc:creator>
  <cp:lastModifiedBy>linda</cp:lastModifiedBy>
  <cp:lastPrinted>2016-03-08T02:36:00Z</cp:lastPrinted>
  <dcterms:modified xsi:type="dcterms:W3CDTF">2016-03-25T05:44:05Z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